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2"/>
        </w:rPr>
        <w:t>ETİBARNAMƏ</w:t>
      </w:r>
    </w:p>
    <w:p>
      <w:pPr>
        <w:spacing w:after="40"/>
        <w:jc w:val="center"/>
      </w:pPr>
      <w:r>
        <w:rPr>
          <w:b w:val="0"/>
          <w:i/>
        </w:rPr>
        <w:t>(hüquqi şəxs adından, dövlət orqanlarında və digər təşkilatlarda təmsilçilik üçün)</w:t>
      </w:r>
    </w:p>
    <w:p>
      <w:pPr>
        <w:spacing w:after="200"/>
        <w:jc w:val="center"/>
      </w:pPr>
      <w:r>
        <w:rPr>
          <w:b w:val="0"/>
          <w:i w:val="0"/>
        </w:rPr>
        <w:t>№ ______</w:t>
      </w:r>
    </w:p>
    <w:tbl>
      <w:tblPr>
        <w:tblW w:type="auto" w:w="0"/>
        <w:tblLook w:firstColumn="1" w:firstRow="1" w:lastColumn="0" w:lastRow="0" w:noHBand="0" w:noVBand="1" w:val="04A0"/>
      </w:tblPr>
      <w:tblGrid>
        <w:gridCol w:w="4734"/>
        <w:gridCol w:w="4734"/>
      </w:tblGrid>
      <w:tr>
        <w:trPr>
          <w:cantSplit/>
        </w:trPr>
        <w:tc>
          <w:tcPr>
            <w:tcW w:type="dxa" w:w="4734"/>
          </w:tcPr>
          <w:p>
            <w:r>
              <w:t>Bakı şəhəri</w:t>
            </w:r>
          </w:p>
        </w:tc>
        <w:tc>
          <w:tcPr>
            <w:tcW w:type="dxa" w:w="4734"/>
          </w:tcPr>
          <w:p>
            <w:pPr>
              <w:jc w:val="right"/>
            </w:pPr>
            <w:r>
              <w:t>«____» ____________ 20___-ci il</w:t>
            </w:r>
          </w:p>
        </w:tc>
      </w:tr>
    </w:tbl>
    <w:p>
      <w:pPr>
        <w:spacing w:after="160"/>
        <w:jc w:val="right"/>
      </w:pPr>
      <w:r>
        <w:rPr>
          <w:b w:val="0"/>
          <w:i/>
          <w:sz w:val="18"/>
        </w:rPr>
        <w:t>(______________________________________________ — tarix sözlə)</w:t>
      </w:r>
    </w:p>
    <w:p>
      <w:pPr>
        <w:jc w:val="both"/>
      </w:pPr>
      <w:r>
        <w:rPr>
          <w:b/>
          <w:i w:val="0"/>
        </w:rPr>
        <w:t>«____________________»</w:t>
      </w:r>
      <w:r>
        <w:rPr>
          <w:b w:val="0"/>
          <w:i w:val="0"/>
        </w:rPr>
        <w:t xml:space="preserve"> Məhdud Məsuliyyətli Cəmiyyəti (VÖEN: __________________, hüquqi ünvanı: ________________________________________) (bundan sonra — </w:t>
      </w:r>
      <w:r>
        <w:rPr>
          <w:b/>
          <w:i w:val="0"/>
        </w:rPr>
        <w:t>«Cəmiyyət»</w:t>
      </w:r>
      <w:r>
        <w:rPr>
          <w:b w:val="0"/>
          <w:i w:val="0"/>
        </w:rPr>
        <w:t xml:space="preserve">), nizamnamə əsasında fəaliyyət göstərən direktoru ____________________ (soyadı, adı, atasının adı) vasitəsilə, bu etibarnamə ilə aşağıdakı şəxsə (bundan sonra — </w:t>
      </w:r>
      <w:r>
        <w:rPr>
          <w:b/>
          <w:i w:val="0"/>
        </w:rPr>
        <w:t>«Nümayəndə»</w:t>
      </w:r>
      <w:r>
        <w:rPr>
          <w:b w:val="0"/>
          <w:i w:val="0"/>
        </w:rPr>
        <w:t>) Cəmiyyəti təmsil etmək səlahiyyəti verir:</w:t>
      </w:r>
    </w:p>
    <w:tbl>
      <w:tblPr>
        <w:tblStyle w:val="TableGrid"/>
        <w:tblW w:type="dxa" w:w="9355"/>
        <w:jc w:val="center"/>
        <w:tblLayout w:type="fixed"/>
        <w:tblLook w:firstColumn="1" w:firstRow="1" w:lastColumn="0" w:lastRow="0" w:noHBand="0" w:noVBand="1" w:val="04A0"/>
      </w:tblPr>
      <w:tblGrid>
        <w:gridCol w:w="4819"/>
        <w:gridCol w:w="4536"/>
      </w:tblGrid>
      <w:tr>
        <w:trPr>
          <w:cantSplit/>
        </w:trPr>
        <w:tc>
          <w:tcPr>
            <w:tcW w:type="dxa" w:w="4819"/>
          </w:tcPr>
          <w:p>
            <w:pPr>
              <w:spacing w:after="20"/>
            </w:pPr>
            <w:r/>
            <w:r>
              <w:rPr>
                <w:b/>
                <w:sz w:val="21"/>
              </w:rPr>
              <w:t>Nümayəndə haqqında məlumat</w:t>
            </w:r>
          </w:p>
        </w:tc>
        <w:tc>
          <w:tcPr>
            <w:tcW w:type="dxa" w:w="4535"/>
          </w:tcPr>
          <w:p>
            <w:pPr>
              <w:spacing w:after="20"/>
            </w:pPr>
            <w:r/>
            <w:r>
              <w:rPr>
                <w:b/>
                <w:sz w:val="21"/>
              </w:rPr>
            </w:r>
          </w:p>
        </w:tc>
      </w:tr>
      <w:tr>
        <w:trPr>
          <w:cantSplit/>
        </w:trPr>
        <w:tc>
          <w:tcPr>
            <w:tcW w:type="dxa" w:w="4819"/>
          </w:tcPr>
          <w:p>
            <w:pPr>
              <w:spacing w:after="20"/>
            </w:pPr>
            <w:r/>
            <w:r>
              <w:rPr>
                <w:b w:val="0"/>
                <w:sz w:val="21"/>
              </w:rPr>
              <w:t>Soyadı, adı, atasının adı</w:t>
            </w:r>
          </w:p>
        </w:tc>
        <w:tc>
          <w:tcPr>
            <w:tcW w:type="dxa" w:w="4535"/>
          </w:tcPr>
          <w:p>
            <w:pPr>
              <w:spacing w:after="20"/>
            </w:pPr>
            <w:r/>
            <w:r>
              <w:rPr>
                <w:b w:val="0"/>
                <w:sz w:val="21"/>
              </w:rPr>
            </w:r>
          </w:p>
        </w:tc>
      </w:tr>
      <w:tr>
        <w:trPr>
          <w:cantSplit/>
        </w:trPr>
        <w:tc>
          <w:tcPr>
            <w:tcW w:type="dxa" w:w="4819"/>
          </w:tcPr>
          <w:p>
            <w:pPr>
              <w:spacing w:after="20"/>
            </w:pPr>
            <w:r/>
            <w:r>
              <w:rPr>
                <w:b w:val="0"/>
                <w:sz w:val="21"/>
              </w:rPr>
              <w:t>Şəxsiyyət vəsiqəsinin seriyası, nömrəsi, verilmə tarixi və verən orqan</w:t>
            </w:r>
          </w:p>
        </w:tc>
        <w:tc>
          <w:tcPr>
            <w:tcW w:type="dxa" w:w="4535"/>
          </w:tcPr>
          <w:p>
            <w:pPr>
              <w:spacing w:after="20"/>
            </w:pPr>
            <w:r/>
            <w:r>
              <w:rPr>
                <w:b w:val="0"/>
                <w:sz w:val="21"/>
              </w:rPr>
            </w:r>
          </w:p>
        </w:tc>
      </w:tr>
      <w:tr>
        <w:trPr>
          <w:cantSplit/>
        </w:trPr>
        <w:tc>
          <w:tcPr>
            <w:tcW w:type="dxa" w:w="4819"/>
          </w:tcPr>
          <w:p>
            <w:pPr>
              <w:spacing w:after="20"/>
            </w:pPr>
            <w:r/>
            <w:r>
              <w:rPr>
                <w:b w:val="0"/>
                <w:sz w:val="21"/>
              </w:rPr>
              <w:t>FİN</w:t>
            </w:r>
          </w:p>
        </w:tc>
        <w:tc>
          <w:tcPr>
            <w:tcW w:type="dxa" w:w="4535"/>
          </w:tcPr>
          <w:p>
            <w:pPr>
              <w:spacing w:after="20"/>
            </w:pPr>
            <w:r/>
            <w:r>
              <w:rPr>
                <w:b w:val="0"/>
                <w:sz w:val="21"/>
              </w:rPr>
            </w:r>
          </w:p>
        </w:tc>
      </w:tr>
      <w:tr>
        <w:trPr>
          <w:cantSplit/>
        </w:trPr>
        <w:tc>
          <w:tcPr>
            <w:tcW w:type="dxa" w:w="4819"/>
          </w:tcPr>
          <w:p>
            <w:pPr>
              <w:spacing w:after="20"/>
            </w:pPr>
            <w:r/>
            <w:r>
              <w:rPr>
                <w:b w:val="0"/>
                <w:sz w:val="21"/>
              </w:rPr>
              <w:t>Qeydiyyatda olduğu ünvan</w:t>
            </w:r>
          </w:p>
        </w:tc>
        <w:tc>
          <w:tcPr>
            <w:tcW w:type="dxa" w:w="4535"/>
          </w:tcPr>
          <w:p>
            <w:pPr>
              <w:spacing w:after="20"/>
            </w:pPr>
            <w:r/>
            <w:r>
              <w:rPr>
                <w:b w:val="0"/>
                <w:sz w:val="21"/>
              </w:rPr>
            </w:r>
          </w:p>
        </w:tc>
      </w:tr>
      <w:tr>
        <w:trPr>
          <w:cantSplit/>
        </w:trPr>
        <w:tc>
          <w:tcPr>
            <w:tcW w:type="dxa" w:w="4819"/>
          </w:tcPr>
          <w:p>
            <w:pPr>
              <w:spacing w:after="20"/>
            </w:pPr>
            <w:r/>
            <w:r>
              <w:rPr>
                <w:b w:val="0"/>
                <w:sz w:val="21"/>
              </w:rPr>
              <w:t>Cəmiyyətdə vəzifəsi (işçi olduqda) və ya vəkil vəsiqəsinin nömrəsi</w:t>
            </w:r>
          </w:p>
        </w:tc>
        <w:tc>
          <w:tcPr>
            <w:tcW w:type="dxa" w:w="4535"/>
          </w:tcPr>
          <w:p>
            <w:pPr>
              <w:spacing w:after="20"/>
            </w:pPr>
            <w:r/>
            <w:r>
              <w:rPr>
                <w:b w:val="0"/>
                <w:sz w:val="21"/>
              </w:rPr>
            </w:r>
          </w:p>
        </w:tc>
      </w:tr>
    </w:tbl>
    <w:p>
      <w:pPr>
        <w:spacing w:after="40"/>
      </w:pPr>
    </w:p>
    <w:p>
      <w:pPr>
        <w:keepNext/>
        <w:spacing w:after="80" w:before="200"/>
        <w:jc w:val="left"/>
      </w:pPr>
      <w:r>
        <w:rPr>
          <w:b/>
          <w:i w:val="0"/>
        </w:rPr>
        <w:t>1. TƏMSİLÇİLİYİN HƏCMİ</w:t>
      </w:r>
    </w:p>
    <w:p>
      <w:pPr>
        <w:jc w:val="both"/>
      </w:pPr>
      <w:r>
        <w:rPr>
          <w:b w:val="0"/>
          <w:i w:val="0"/>
        </w:rPr>
        <w:t>1.1. Nümayəndə Cəmiyyəti Azərbaycan Respublikasının bütün dövlət hakimiyyəti və idarəetmə orqanlarında, onların struktur, regional və ərazi bölmələrində, publik hüquqi şəxslərdə, yerli özünüidarəetmə orqanlarında (bələdiyyələrdə), habelə mülkiyyət növündən asılı olmayaraq bütün hüquqi şəxslərdə, o cümlədən aşağıdakılarda təmsil edir:</w:t>
      </w:r>
    </w:p>
    <w:tbl>
      <w:tblPr>
        <w:tblStyle w:val="TableGrid"/>
        <w:tblW w:type="dxa" w:w="9355"/>
        <w:jc w:val="center"/>
        <w:tblLayout w:type="fixed"/>
        <w:tblLook w:firstColumn="1" w:firstRow="1" w:lastColumn="0" w:lastRow="0" w:noHBand="0" w:noVBand="1" w:val="04A0"/>
      </w:tblPr>
      <w:tblGrid>
        <w:gridCol w:w="2268"/>
        <w:gridCol w:w="7087"/>
      </w:tblGrid>
      <w:tr>
        <w:trPr>
          <w:cantSplit/>
        </w:trPr>
        <w:tc>
          <w:tcPr>
            <w:tcW w:type="dxa" w:w="2268"/>
          </w:tcPr>
          <w:p>
            <w:pPr>
              <w:spacing w:after="20"/>
            </w:pPr>
            <w:r/>
            <w:r>
              <w:rPr>
                <w:b/>
                <w:sz w:val="21"/>
              </w:rPr>
              <w:t>Sahə</w:t>
            </w:r>
          </w:p>
        </w:tc>
        <w:tc>
          <w:tcPr>
            <w:tcW w:type="dxa" w:w="7087"/>
          </w:tcPr>
          <w:p>
            <w:pPr>
              <w:spacing w:after="20"/>
            </w:pPr>
            <w:r/>
            <w:r>
              <w:rPr>
                <w:b/>
                <w:sz w:val="21"/>
              </w:rPr>
              <w:t>Qurumlar</w:t>
            </w:r>
          </w:p>
        </w:tc>
      </w:tr>
      <w:tr>
        <w:trPr>
          <w:cantSplit/>
        </w:trPr>
        <w:tc>
          <w:tcPr>
            <w:tcW w:type="dxa" w:w="2268"/>
          </w:tcPr>
          <w:p>
            <w:pPr>
              <w:spacing w:after="20"/>
            </w:pPr>
            <w:r/>
            <w:r>
              <w:rPr>
                <w:b w:val="0"/>
                <w:sz w:val="21"/>
              </w:rPr>
              <w:t>Vergi və iqtisadiyyat</w:t>
            </w:r>
          </w:p>
        </w:tc>
        <w:tc>
          <w:tcPr>
            <w:tcW w:type="dxa" w:w="7087"/>
          </w:tcPr>
          <w:p>
            <w:pPr>
              <w:spacing w:after="20"/>
            </w:pPr>
            <w:r/>
            <w:r>
              <w:rPr>
                <w:b w:val="0"/>
                <w:sz w:val="21"/>
              </w:rPr>
              <w:t>Azərbaycan Respublikasının İqtisadiyyat Nazirliyi; İqtisadiyyat Nazirliyi yanında Dövlət Vergi Xidməti, onun Aparatı, baş idarələri (o cümlədən Bakı şəhəri Lokal Gəlirlər Baş İdarəsi, Milli Gəlirlər Baş İdarəsi, Aksizli və Markalanmalı Malların Dövriyyəsinə Nəzarət Baş İdarəsi), ərazi vergilər (baş) idarələri və digər struktur bölmələri; İqtisadiyyat Nazirliyi yanında Əmlak Məsələləri Dövlət Xidməti (daşınmaz əmlakın dövlət reyestri daxil olmaqla); Antiinhisar və İstehlak Bazarına Nəzarət Dövlət Agentliyi; Kiçik və Orta Biznesin İnkişafı Agentliyi (KOBİA)</w:t>
            </w:r>
          </w:p>
        </w:tc>
      </w:tr>
      <w:tr>
        <w:trPr>
          <w:cantSplit/>
        </w:trPr>
        <w:tc>
          <w:tcPr>
            <w:tcW w:type="dxa" w:w="2268"/>
          </w:tcPr>
          <w:p>
            <w:pPr>
              <w:spacing w:after="20"/>
            </w:pPr>
            <w:r/>
            <w:r>
              <w:rPr>
                <w:b w:val="0"/>
                <w:sz w:val="21"/>
              </w:rPr>
              <w:t>Gömrük</w:t>
            </w:r>
          </w:p>
        </w:tc>
        <w:tc>
          <w:tcPr>
            <w:tcW w:type="dxa" w:w="7087"/>
          </w:tcPr>
          <w:p>
            <w:pPr>
              <w:spacing w:after="20"/>
            </w:pPr>
            <w:r/>
            <w:r>
              <w:rPr>
                <w:b w:val="0"/>
                <w:sz w:val="21"/>
              </w:rPr>
              <w:t>Dövlət Gömrük Komitəsi, onun baş idarələri, gömrük idarələri və gömrük postları</w:t>
            </w:r>
          </w:p>
        </w:tc>
      </w:tr>
      <w:tr>
        <w:trPr>
          <w:cantSplit/>
        </w:trPr>
        <w:tc>
          <w:tcPr>
            <w:tcW w:type="dxa" w:w="2268"/>
          </w:tcPr>
          <w:p>
            <w:pPr>
              <w:spacing w:after="20"/>
            </w:pPr>
            <w:r/>
            <w:r>
              <w:rPr>
                <w:b w:val="0"/>
                <w:sz w:val="21"/>
              </w:rPr>
              <w:t>Maliyyə</w:t>
            </w:r>
          </w:p>
        </w:tc>
        <w:tc>
          <w:tcPr>
            <w:tcW w:type="dxa" w:w="7087"/>
          </w:tcPr>
          <w:p>
            <w:pPr>
              <w:spacing w:after="20"/>
            </w:pPr>
            <w:r/>
            <w:r>
              <w:rPr>
                <w:b w:val="0"/>
                <w:sz w:val="21"/>
              </w:rPr>
              <w:t>Azərbaycan Respublikasının Maliyyə Nazirliyi və onun Dövlət Xəzinədarlıq Agentliyi; Azərbaycan Respublikasının Mərkəzi Bankı; Azərbaycan Respublikasında fəaliyyət göstərən banklar və bank olmayan kredit təşkilatları, sığorta şirkətləri</w:t>
            </w:r>
          </w:p>
        </w:tc>
      </w:tr>
      <w:tr>
        <w:trPr>
          <w:cantSplit/>
        </w:trPr>
        <w:tc>
          <w:tcPr>
            <w:tcW w:type="dxa" w:w="2268"/>
          </w:tcPr>
          <w:p>
            <w:pPr>
              <w:spacing w:after="20"/>
            </w:pPr>
            <w:r/>
            <w:r>
              <w:rPr>
                <w:b w:val="0"/>
                <w:sz w:val="21"/>
              </w:rPr>
              <w:t>Əmək və sosial müdafiə</w:t>
            </w:r>
          </w:p>
        </w:tc>
        <w:tc>
          <w:tcPr>
            <w:tcW w:type="dxa" w:w="7087"/>
          </w:tcPr>
          <w:p>
            <w:pPr>
              <w:spacing w:after="20"/>
            </w:pPr>
            <w:r/>
            <w:r>
              <w:rPr>
                <w:b w:val="0"/>
                <w:sz w:val="21"/>
              </w:rPr>
              <w:t>Əmək və Əhalinin Sosial Müdafiəsi Nazirliyi; Dövlət Sosial Müdafiə Fondu; Dövlət Əmək Müfəttişliyi Xidməti; Dövlət Məşğulluq Agentliyi; Dayanıqlı və Operativ Sosial Təminat Agentliyi (DOST); Dövlət Tibbi Sığorta və Ekspertiza Agentliyi</w:t>
            </w:r>
          </w:p>
        </w:tc>
      </w:tr>
      <w:tr>
        <w:trPr>
          <w:cantSplit/>
        </w:trPr>
        <w:tc>
          <w:tcPr>
            <w:tcW w:type="dxa" w:w="2268"/>
          </w:tcPr>
          <w:p>
            <w:pPr>
              <w:spacing w:after="20"/>
            </w:pPr>
            <w:r/>
            <w:r>
              <w:rPr>
                <w:b w:val="0"/>
                <w:sz w:val="21"/>
              </w:rPr>
              <w:t>Ədliyyə və hüquq-mühafizə</w:t>
            </w:r>
          </w:p>
        </w:tc>
        <w:tc>
          <w:tcPr>
            <w:tcW w:type="dxa" w:w="7087"/>
          </w:tcPr>
          <w:p>
            <w:pPr>
              <w:spacing w:after="20"/>
            </w:pPr>
            <w:r/>
            <w:r>
              <w:rPr>
                <w:b w:val="0"/>
                <w:sz w:val="21"/>
              </w:rPr>
              <w:t>Ədliyyə Nazirliyi və onun qurumları, o cümlədən notariat ofisləri və notariuslar, icra məmurları; Daxili İşlər Nazirliyi və onun bölmələri (o cümlədən Baş Dövlət Yol Polisi İdarəsi); Prokurorluq orqanları; Dövlət Miqrasiya Xidməti</w:t>
            </w:r>
          </w:p>
        </w:tc>
      </w:tr>
      <w:tr>
        <w:trPr>
          <w:cantSplit/>
        </w:trPr>
        <w:tc>
          <w:tcPr>
            <w:tcW w:type="dxa" w:w="2268"/>
          </w:tcPr>
          <w:p>
            <w:pPr>
              <w:spacing w:after="20"/>
            </w:pPr>
            <w:r/>
            <w:r>
              <w:rPr>
                <w:b w:val="0"/>
                <w:sz w:val="21"/>
              </w:rPr>
              <w:t>Məhkəmələr</w:t>
            </w:r>
          </w:p>
        </w:tc>
        <w:tc>
          <w:tcPr>
            <w:tcW w:type="dxa" w:w="7087"/>
          </w:tcPr>
          <w:p>
            <w:pPr>
              <w:spacing w:after="20"/>
            </w:pPr>
            <w:r/>
            <w:r>
              <w:rPr>
                <w:b w:val="0"/>
                <w:sz w:val="21"/>
              </w:rPr>
              <w:t>Azərbaycan Respublikasının bütün instansiya məhkəmələri: birinci instansiya məhkəmələri (ümumi yurisdiksiyalı məhkəmələr, inzibati məhkəmələr və kommersiya mübahisələrinə baxan məhkəmələr), apellyasiya məhkəmələri və Azərbaycan Respublikasının Ali Məhkəməsi, habelə arbitraj (münsiflər) məhkəmələri və mediasiya təşkilatları — bu etibarnamənin 3-cü bölməsinə uyğun olaraq</w:t>
            </w:r>
          </w:p>
        </w:tc>
      </w:tr>
      <w:tr>
        <w:trPr>
          <w:cantSplit/>
        </w:trPr>
        <w:tc>
          <w:tcPr>
            <w:tcW w:type="dxa" w:w="2268"/>
          </w:tcPr>
          <w:p>
            <w:pPr>
              <w:spacing w:after="20"/>
            </w:pPr>
            <w:r/>
            <w:r>
              <w:rPr>
                <w:b w:val="0"/>
                <w:sz w:val="21"/>
              </w:rPr>
              <w:t>Vətəndaşlara xidmət</w:t>
            </w:r>
          </w:p>
        </w:tc>
        <w:tc>
          <w:tcPr>
            <w:tcW w:type="dxa" w:w="7087"/>
          </w:tcPr>
          <w:p>
            <w:pPr>
              <w:spacing w:after="20"/>
            </w:pPr>
            <w:r/>
            <w:r>
              <w:rPr>
                <w:b w:val="0"/>
                <w:sz w:val="21"/>
              </w:rPr>
              <w:t>Vətəndaşlara Xidmət və Sosial İnnovasiyalar üzrə Dövlət Agentliyi və «ASAN xidmət» mərkəzləri; «DOST» mərkəzləri; Dövlət Statistika Komitəsi</w:t>
            </w:r>
          </w:p>
        </w:tc>
      </w:tr>
      <w:tr>
        <w:trPr>
          <w:cantSplit/>
        </w:trPr>
        <w:tc>
          <w:tcPr>
            <w:tcW w:type="dxa" w:w="2268"/>
          </w:tcPr>
          <w:p>
            <w:pPr>
              <w:spacing w:after="20"/>
            </w:pPr>
            <w:r/>
            <w:r>
              <w:rPr>
                <w:b w:val="0"/>
                <w:sz w:val="21"/>
              </w:rPr>
              <w:t>Sahəvi nazirlik və qurumlar</w:t>
            </w:r>
          </w:p>
        </w:tc>
        <w:tc>
          <w:tcPr>
            <w:tcW w:type="dxa" w:w="7087"/>
          </w:tcPr>
          <w:p>
            <w:pPr>
              <w:spacing w:after="20"/>
            </w:pPr>
            <w:r/>
            <w:r>
              <w:rPr>
                <w:b w:val="0"/>
                <w:sz w:val="21"/>
              </w:rPr>
              <w:t>Rəqəmsal İnkişaf və Nəqliyyat Nazirliyi; Energetika Nazirliyi; Azərbaycan Enerji Tənzimləmə Agentliyi; Ekologiya və Təbii Sərvətlər Nazirliyi; Kənd Təsərrüfatı Nazirliyi; Azərbaycan Qida Təhlükəsizliyi Agentliyi; Səhiyyə Nazirliyi; Fövqəladə Hallar Nazirliyi; Şəhərsalma və Arxitektura Komitəsi; Əqli Mülkiyyət Agentliyi; Dövlət Turizm Agentliyi; standartlaşdırma, metrologiya, akkreditasiya və uyğunluğun qiymətləndirilməsi sahəsində səlahiyyətli qurumlar</w:t>
            </w:r>
          </w:p>
        </w:tc>
      </w:tr>
      <w:tr>
        <w:trPr>
          <w:cantSplit/>
        </w:trPr>
        <w:tc>
          <w:tcPr>
            <w:tcW w:type="dxa" w:w="2268"/>
          </w:tcPr>
          <w:p>
            <w:pPr>
              <w:spacing w:after="20"/>
            </w:pPr>
            <w:r/>
            <w:r>
              <w:rPr>
                <w:b w:val="0"/>
                <w:sz w:val="21"/>
              </w:rPr>
              <w:t>Yerli orqanlar</w:t>
            </w:r>
          </w:p>
        </w:tc>
        <w:tc>
          <w:tcPr>
            <w:tcW w:type="dxa" w:w="7087"/>
          </w:tcPr>
          <w:p>
            <w:pPr>
              <w:spacing w:after="20"/>
            </w:pPr>
            <w:r/>
            <w:r>
              <w:rPr>
                <w:b w:val="0"/>
                <w:sz w:val="21"/>
              </w:rPr>
              <w:t>Rayon (şəhər) icra hakimiyyətləri və onların nümayəndəlikləri; bələdiyyələr</w:t>
            </w:r>
          </w:p>
        </w:tc>
      </w:tr>
      <w:tr>
        <w:trPr>
          <w:cantSplit/>
        </w:trPr>
        <w:tc>
          <w:tcPr>
            <w:tcW w:type="dxa" w:w="2268"/>
          </w:tcPr>
          <w:p>
            <w:pPr>
              <w:spacing w:after="20"/>
            </w:pPr>
            <w:r/>
            <w:r>
              <w:rPr>
                <w:b w:val="0"/>
                <w:sz w:val="21"/>
              </w:rPr>
              <w:t>Kommunal və digər təşkilatlar</w:t>
            </w:r>
          </w:p>
        </w:tc>
        <w:tc>
          <w:tcPr>
            <w:tcW w:type="dxa" w:w="7087"/>
          </w:tcPr>
          <w:p>
            <w:pPr>
              <w:spacing w:after="20"/>
            </w:pPr>
            <w:r/>
            <w:r>
              <w:rPr>
                <w:b w:val="0"/>
                <w:sz w:val="21"/>
              </w:rPr>
              <w:t>Azərbaycan Dövlət Su Ehtiyatları Agentliyi, «Azərişıq» ASC, «Azərsu» ASC, «Azəriqaz» İstehsalat Birliyi, «Azərpoçt» MMC, rabitə və internet provayderləri, habelə digər hüquqi şəxslər, fiziki şəxslər və fərdi sahibkarlar</w:t>
            </w:r>
          </w:p>
        </w:tc>
      </w:tr>
    </w:tbl>
    <w:p>
      <w:pPr>
        <w:spacing w:after="40"/>
      </w:pPr>
    </w:p>
    <w:p>
      <w:pPr>
        <w:jc w:val="both"/>
      </w:pPr>
      <w:r>
        <w:rPr>
          <w:b w:val="0"/>
          <w:i w:val="0"/>
        </w:rPr>
        <w:t>1.2. Yuxarıda göstərilən qurumların adı dəyişdirildikdə, onlar yenidən təşkil edildikdə və ya ləğv edildikdə Nümayəndə həmin qurumların hüquq varisləri və funksiyalarını həyata keçirən orqanlar qarşısında da Cəmiyyəti təmsil edir. Siyahı nümunəvi xarakter daşıyır və təmsilçiliyin həcmini məhdudlaşdırmır.</w:t>
      </w:r>
    </w:p>
    <w:p>
      <w:pPr>
        <w:keepNext/>
        <w:spacing w:after="80" w:before="200"/>
        <w:jc w:val="left"/>
      </w:pPr>
      <w:r>
        <w:rPr>
          <w:b/>
          <w:i w:val="0"/>
        </w:rPr>
        <w:t>2. NÜMAYƏNDƏNİN SƏLAHİYYƏTLƏRİ</w:t>
      </w:r>
    </w:p>
    <w:p>
      <w:pPr>
        <w:jc w:val="both"/>
      </w:pPr>
      <w:r>
        <w:rPr>
          <w:b w:val="0"/>
          <w:i w:val="0"/>
        </w:rPr>
        <w:t>2.1. Nümayəndə 1-ci bölmədə göstərilən qurumlarda Cəmiyyətin adından aşağıdakı hərəkətləri etmək hüququna malikdir:</w:t>
      </w:r>
    </w:p>
    <w:p>
      <w:pPr>
        <w:ind w:left="454"/>
        <w:jc w:val="both"/>
      </w:pPr>
      <w:r>
        <w:rPr>
          <w:b w:val="0"/>
          <w:i w:val="0"/>
        </w:rPr>
        <w:t>— ərizə, müraciət, sorğu, izahat, etiraz və şikayətləri imzalamaq, təqdim etmək və geri götürmək;</w:t>
      </w:r>
    </w:p>
    <w:p>
      <w:pPr>
        <w:ind w:left="454"/>
        <w:jc w:val="both"/>
      </w:pPr>
      <w:r>
        <w:rPr>
          <w:b w:val="0"/>
          <w:i w:val="0"/>
        </w:rPr>
        <w:t>— Cəmiyyətə aid sənədləri, arayışları, çıxarışları, qərarları, aktları, şəhadətnamələri, icazələri, lisenziyaları, bildirişləri və məktubları təqdim etmək və almaq, onların surətlərini çıxarmaq və təsdiq etdirmək;</w:t>
      </w:r>
    </w:p>
    <w:p>
      <w:pPr>
        <w:ind w:left="454"/>
        <w:jc w:val="both"/>
      </w:pPr>
      <w:r>
        <w:rPr>
          <w:b w:val="0"/>
          <w:i w:val="0"/>
        </w:rPr>
        <w:t>— Cəmiyyətin vergi orqanlarında uçotu, təsərrüfat subyektlərinin (obyektlərin) uçota alınması və uçotdan çıxarılması, nəzarət-kassa aparatlarının (POS-terminalların) qeydiyyatı və qeydiyyatdan çıxarılması, qeydiyyat məlumatlarında dəyişikliklər ilə bağlı hərəkətləri etmək;</w:t>
      </w:r>
    </w:p>
    <w:p>
      <w:pPr>
        <w:ind w:left="454"/>
        <w:jc w:val="both"/>
      </w:pPr>
      <w:r>
        <w:rPr>
          <w:b w:val="0"/>
          <w:i w:val="0"/>
        </w:rPr>
        <w:t>— vergi və digər yoxlamalarda, kameral yoxlamalarda, vergi orqanına çağırışlarda, xronometraj müşahidələrində və inventarizasiyalarda iştirak etmək, izahat vermək, yoxlama aktlarını və protokolları qeyd-şərtlə (etirazla) imzalamaq və ya imzalamaqdan imtina etmək, aktların surətini almaq;</w:t>
      </w:r>
    </w:p>
    <w:p>
      <w:pPr>
        <w:ind w:left="454"/>
        <w:jc w:val="both"/>
      </w:pPr>
      <w:r>
        <w:rPr>
          <w:b w:val="0"/>
          <w:i w:val="0"/>
        </w:rPr>
        <w:t>— inzibati qaydada şikayət vermək, şikayətlərin baxılmasında iştirak etmək;</w:t>
      </w:r>
    </w:p>
    <w:p>
      <w:pPr>
        <w:ind w:left="454"/>
        <w:jc w:val="both"/>
      </w:pPr>
      <w:r>
        <w:rPr>
          <w:b w:val="0"/>
          <w:i w:val="0"/>
        </w:rPr>
        <w:t>— dövlət rüsumlarını, xidmət haqlarını və digər ödənişləri Cəmiyyətin vəsaiti hesabına ödəmək və ödəniş sənədlərini almaq;</w:t>
      </w:r>
    </w:p>
    <w:p>
      <w:pPr>
        <w:ind w:left="454"/>
        <w:jc w:val="both"/>
      </w:pPr>
      <w:r>
        <w:rPr>
          <w:b w:val="0"/>
          <w:i w:val="0"/>
        </w:rPr>
        <w:t>— birbaşa gömrük təmsilçisi kimi gömrük bəyannaməsini və digər gömrük sənədlərini Cəmiyyətin adından gömrük orqanına (elektron formada) təqdim etmək, malların gömrük rəsmiləşdirilməsində və yoxlanılmasında iştirak etmək, gömrük ödənişləri ilə bağlı sənədləri almaq (Gömrük Məcəlləsi, maddə 23);</w:t>
      </w:r>
    </w:p>
    <w:p>
      <w:pPr>
        <w:ind w:left="454"/>
        <w:jc w:val="both"/>
      </w:pPr>
      <w:r>
        <w:rPr>
          <w:b w:val="0"/>
          <w:i w:val="0"/>
        </w:rPr>
        <w:t>— Cəmiyyət barəsində inzibati xəta haqqında işlər üzrə icraatda müdafiəçi kimi iştirak etmək: iş materialları ilə tanış olmaq, sübutlar, vəsatət və etirazlar vermək, işin baxılmasında iştirak etmək, qərardan şikayət vermək (İnzibati Xətalar Məcəlləsi, maddə 65.2, 65.4);</w:t>
      </w:r>
    </w:p>
    <w:p>
      <w:pPr>
        <w:ind w:left="454"/>
        <w:jc w:val="both"/>
      </w:pPr>
      <w:r>
        <w:rPr>
          <w:b w:val="0"/>
          <w:i w:val="0"/>
        </w:rPr>
        <w:t>— əmək münasibətləri, sosial sığorta, icbari tibbi sığorta, məşğulluq və miqrasiya məsələləri üzrə sənədləri təqdim etmək və almaq;</w:t>
      </w:r>
    </w:p>
    <w:p>
      <w:pPr>
        <w:ind w:left="454"/>
        <w:jc w:val="both"/>
      </w:pPr>
      <w:r>
        <w:rPr>
          <w:b w:val="0"/>
          <w:i w:val="0"/>
        </w:rPr>
        <w:t>— əmlakın, nəqliyyat vasitələrinin, əqli mülkiyyət obyektlərinin dövlət qeydiyyatı, onların qeydiyyatının dəyişdirilməsi və ya ləğvi ilə bağlı sənədləri təqdim etmək və almaq (müvafiq hüququn özgəninkiləşdirilməsi istisna olmaqla);</w:t>
      </w:r>
    </w:p>
    <w:p>
      <w:pPr>
        <w:ind w:left="454"/>
        <w:jc w:val="both"/>
      </w:pPr>
      <w:r>
        <w:rPr>
          <w:b w:val="0"/>
          <w:i w:val="0"/>
        </w:rPr>
        <w:t>— Cəmiyyətin xidmət yazışmalarını aparmaq, təhvil-təslim aktlarını, uzlaşma aktlarını və qəbz-qaimələri imzalamaq;</w:t>
      </w:r>
    </w:p>
    <w:p>
      <w:pPr>
        <w:ind w:left="454"/>
        <w:jc w:val="both"/>
      </w:pPr>
      <w:r>
        <w:rPr>
          <w:b w:val="0"/>
          <w:i w:val="0"/>
        </w:rPr>
        <w:t>— bu etibarnamə ilə verilmiş tapşırığın icrası üçün zəruri olan digər hərəkətləri etmək.</w:t>
      </w:r>
    </w:p>
    <w:p>
      <w:pPr>
        <w:jc w:val="both"/>
      </w:pPr>
      <w:r>
        <w:rPr>
          <w:b w:val="0"/>
          <w:i w:val="0"/>
        </w:rPr>
        <w:t>2.2. Elektron hökumət informasiya sistemlərində (o cümlədən e-taxes.gov.az elektron kabinetində) Cəmiyyət adından hərəkətlər yalnız həmin sistemlərdə müəyyən edilmiş qaydada Nümayəndəyə verilmiş giriş hüququ və onun özünün elektron imzası ilə edilir. Bu etibarnamə Cəmiyyətin rəhbərinin elektron imzasından istifadə hüququ vermir.</w:t>
      </w:r>
    </w:p>
    <w:p>
      <w:pPr>
        <w:keepNext/>
        <w:spacing w:after="80" w:before="200"/>
        <w:jc w:val="left"/>
      </w:pPr>
      <w:r>
        <w:rPr>
          <w:b/>
          <w:i w:val="0"/>
        </w:rPr>
        <w:t>3. MƏHKƏMƏLƏRDƏ TƏMSİLÇİLİK</w:t>
      </w:r>
    </w:p>
    <w:p>
      <w:pPr>
        <w:jc w:val="both"/>
      </w:pPr>
      <w:r>
        <w:rPr>
          <w:b w:val="0"/>
          <w:i w:val="0"/>
        </w:rPr>
        <w:t>3.1. Nümayəndə məhkəmələrdə Cəmiyyəti yalnız əsas iş yeri Cəmiyyət olan işçi və ya vəkil olduqda təmsil edə bilər (Mülki Prosessual Məcəllə, maddə 69.2; İnzibati Prosessual Məcəllə, maddələr 26.2, 31.1). Bu halda Nümayəndə işin müvəffəqiyyətli həlli üçün zəruri olan bütün prosessual hərəkətləri edir (Mülki Prosessual Məcəllə, maddə 74.1): işin materialları ilə tanış olmaq, onlardan çıxarışlar və surətlər almaq, sübutlar təqdim etmək, vəsatət vermək, etiraz etmək, izahat vermək, məhkəmə aktlarının surətlərini almaq.</w:t>
      </w:r>
    </w:p>
    <w:p>
      <w:pPr>
        <w:jc w:val="both"/>
      </w:pPr>
      <w:r>
        <w:rPr>
          <w:b w:val="0"/>
          <w:i w:val="0"/>
        </w:rPr>
        <w:t>3.2. Nümayəndəyə aşağıdakı xüsusi səlahiyyətlər də verilir (Mülki Prosessual Məcəllə, maddə 74.2) — lazım olanı ☒ işarələyin, olmayanı xətt çəkərək silin:</w:t>
      </w:r>
    </w:p>
    <w:p>
      <w:pPr>
        <w:ind w:left="454"/>
        <w:jc w:val="both"/>
      </w:pPr>
      <w:r>
        <w:rPr>
          <w:b w:val="0"/>
          <w:i w:val="0"/>
        </w:rPr>
        <w:t>☐ iddia ərizəsini imzalamaq və məhkəməyə təqdim etmək;</w:t>
      </w:r>
    </w:p>
    <w:p>
      <w:pPr>
        <w:ind w:left="454"/>
        <w:jc w:val="both"/>
      </w:pPr>
      <w:r>
        <w:rPr>
          <w:b w:val="0"/>
          <w:i w:val="0"/>
        </w:rPr>
        <w:t>☐ işi arbitraj məhkəməsinə vermək;</w:t>
      </w:r>
    </w:p>
    <w:p>
      <w:pPr>
        <w:ind w:left="454"/>
        <w:jc w:val="both"/>
      </w:pPr>
      <w:r>
        <w:rPr>
          <w:b w:val="0"/>
          <w:i w:val="0"/>
        </w:rPr>
        <w:t>☐ iddia tələblərindən tam və ya qismən imtina etmək;</w:t>
      </w:r>
    </w:p>
    <w:p>
      <w:pPr>
        <w:ind w:left="454"/>
        <w:jc w:val="both"/>
      </w:pPr>
      <w:r>
        <w:rPr>
          <w:b w:val="0"/>
          <w:i w:val="0"/>
        </w:rPr>
        <w:t>☐ iddianı etiraf etmək;</w:t>
      </w:r>
    </w:p>
    <w:p>
      <w:pPr>
        <w:ind w:left="454"/>
        <w:jc w:val="both"/>
      </w:pPr>
      <w:r>
        <w:rPr>
          <w:b w:val="0"/>
          <w:i w:val="0"/>
        </w:rPr>
        <w:t>☐ iddianın predmetini və ya əsasını dəyişdirmək;</w:t>
      </w:r>
    </w:p>
    <w:p>
      <w:pPr>
        <w:ind w:left="454"/>
        <w:jc w:val="both"/>
      </w:pPr>
      <w:r>
        <w:rPr>
          <w:b w:val="0"/>
          <w:i w:val="0"/>
        </w:rPr>
        <w:t>☐ barışıq sazişi bağlamaq;</w:t>
      </w:r>
    </w:p>
    <w:p>
      <w:pPr>
        <w:ind w:left="454"/>
        <w:jc w:val="both"/>
      </w:pPr>
      <w:r>
        <w:rPr>
          <w:b w:val="0"/>
          <w:i w:val="0"/>
        </w:rPr>
        <w:t>☐ səlahiyyəti başqa şəxsə tapşırmaq;</w:t>
      </w:r>
    </w:p>
    <w:p>
      <w:pPr>
        <w:ind w:left="454"/>
        <w:jc w:val="both"/>
      </w:pPr>
      <w:r>
        <w:rPr>
          <w:b w:val="0"/>
          <w:i w:val="0"/>
        </w:rPr>
        <w:t>☐ mübahisənin mediasiya vasitəsilə həllinə razılıq vermək;</w:t>
      </w:r>
    </w:p>
    <w:p>
      <w:pPr>
        <w:ind w:left="454"/>
        <w:jc w:val="both"/>
      </w:pPr>
      <w:r>
        <w:rPr>
          <w:b w:val="0"/>
          <w:i w:val="0"/>
        </w:rPr>
        <w:t>☐ məhkəmə aktından (apellyasiya, kassasiya qaydasında və s.) şikayət vermək;</w:t>
      </w:r>
    </w:p>
    <w:p>
      <w:pPr>
        <w:ind w:left="454"/>
        <w:jc w:val="both"/>
      </w:pPr>
      <w:r>
        <w:rPr>
          <w:b w:val="0"/>
          <w:i w:val="0"/>
        </w:rPr>
        <w:t>☐ məhkəmə aktının məcburi icrasını tələb etmək, icra sənədini almaq və icraya təqdim etmək;</w:t>
      </w:r>
    </w:p>
    <w:p>
      <w:pPr>
        <w:ind w:left="454"/>
        <w:jc w:val="both"/>
      </w:pPr>
      <w:r>
        <w:rPr>
          <w:b w:val="0"/>
          <w:i w:val="0"/>
        </w:rPr>
        <w:t>☐ qət olunmuş əmlakı və ya pul məbləğini almaq.</w:t>
      </w:r>
    </w:p>
    <w:p>
      <w:pPr>
        <w:keepNext/>
        <w:spacing w:after="80" w:before="200"/>
        <w:jc w:val="left"/>
      </w:pPr>
      <w:r>
        <w:rPr>
          <w:b/>
          <w:i w:val="0"/>
        </w:rPr>
        <w:t>4. SƏLAHİYYƏTLƏRİN MƏHDUDLAŞDIRILMASI</w:t>
      </w:r>
    </w:p>
    <w:p>
      <w:pPr>
        <w:jc w:val="both"/>
      </w:pPr>
      <w:r>
        <w:rPr>
          <w:b w:val="0"/>
          <w:i w:val="0"/>
        </w:rPr>
        <w:t>4.1. Bu etibarnamə ilə Nümayəndəyə aşağıdakı hüquqlar verilmir (xüsusi qeyd edilmədikdə):</w:t>
      </w:r>
    </w:p>
    <w:p>
      <w:pPr>
        <w:ind w:left="454"/>
        <w:jc w:val="both"/>
      </w:pPr>
      <w:r>
        <w:rPr>
          <w:b w:val="0"/>
          <w:i w:val="0"/>
        </w:rPr>
        <w:t>— Cəmiyyətin adından müqavilələr (əqdlər) bağlamaq, borc öhdəlikləri götürmək, zəmanət və ya zaminlik vermək;</w:t>
      </w:r>
    </w:p>
    <w:p>
      <w:pPr>
        <w:ind w:left="454"/>
        <w:jc w:val="both"/>
      </w:pPr>
      <w:r>
        <w:rPr>
          <w:b w:val="0"/>
          <w:i w:val="0"/>
        </w:rPr>
        <w:t>— Cəmiyyətin əmlakını, o cümlədən daşınmaz əmlakı, nəqliyyat vasitələrini və nizamnamə kapitalındakı payları özgəninkiləşdirmək, girov qoymaq və ya icarəyə vermək;</w:t>
      </w:r>
    </w:p>
    <w:p>
      <w:pPr>
        <w:ind w:left="454"/>
        <w:jc w:val="both"/>
      </w:pPr>
      <w:r>
        <w:rPr>
          <w:b w:val="0"/>
          <w:i w:val="0"/>
        </w:rPr>
        <w:t>— Cəmiyyətin bank hesablarını açmaq, bağlamaq və hesablardan vəsait çıxarmaq;</w:t>
      </w:r>
    </w:p>
    <w:p>
      <w:pPr>
        <w:ind w:left="454"/>
        <w:jc w:val="both"/>
      </w:pPr>
      <w:r>
        <w:rPr>
          <w:b w:val="0"/>
          <w:i w:val="0"/>
        </w:rPr>
        <w:t>— Cəmiyyətin təsis sənədlərinə dəyişiklik etmək, onu yenidən təşkil etmək və ya ləğv etmək.</w:t>
      </w:r>
    </w:p>
    <w:p>
      <w:pPr>
        <w:jc w:val="left"/>
      </w:pPr>
      <w:r>
        <w:rPr>
          <w:b w:val="0"/>
          <w:i w:val="0"/>
        </w:rPr>
        <w:t>4.2. ☐ Bu məhdudiyyətlərdən aşağıdakı istisnalar müəyyən edilir: ________________________________________.</w:t>
      </w:r>
    </w:p>
    <w:p>
      <w:pPr>
        <w:jc w:val="both"/>
      </w:pPr>
      <w:r>
        <w:rPr>
          <w:b w:val="0"/>
          <w:i w:val="0"/>
        </w:rPr>
        <w:t>4.3. Notariat qaydasında təsdiq tələb edən əqdlərin bağlanması üçün bu etibarnamə əsas deyil; belə əqdlər üçün notariat qaydasında təsdiqlənmiş ayrıca etibarnamə verilir (Mülki Məcəllə, maddə 362.2).</w:t>
      </w:r>
    </w:p>
    <w:p>
      <w:pPr>
        <w:keepNext/>
        <w:spacing w:after="80" w:before="200"/>
        <w:jc w:val="left"/>
      </w:pPr>
      <w:r>
        <w:rPr>
          <w:b/>
          <w:i w:val="0"/>
        </w:rPr>
        <w:t>5. ETİBARNAMƏNİN MÜDDƏTİ VƏ XİTAMI</w:t>
      </w:r>
    </w:p>
    <w:p>
      <w:pPr>
        <w:jc w:val="both"/>
      </w:pPr>
      <w:r>
        <w:rPr>
          <w:b w:val="0"/>
          <w:i w:val="0"/>
        </w:rPr>
        <w:t>5.1. Etibarnamə ________________ (sözlə) tarixinədək qüvvədədir. Müddət göstərilmədikdə etibarnamə verildiyi gündən bir il ərzində qüvvədədir (Mülki Məcəllə, maddə 363.1). Nəqliyyat vasitəsinə dair sərəncam vermə hüququnu nəzərdə tutan etibarnamə bir ildən artıq müddətə verilə bilməz (maddə 363.3).</w:t>
      </w:r>
    </w:p>
    <w:p>
      <w:pPr>
        <w:jc w:val="both"/>
      </w:pPr>
      <w:r>
        <w:rPr>
          <w:b w:val="0"/>
          <w:i w:val="0"/>
        </w:rPr>
        <w:t>5.2. Etibar edilmişi başqasına etibaretmə hüququ: ☐ verilir  ☐ verilmir. Verildiyi halda yeni etibarnamənin müddəti bu etibarnamənin müddətindən artıq ola bilməz və Nümayəndə bu barədə Cəmiyyətə məlumat verməlidir (maddə 364).</w:t>
      </w:r>
    </w:p>
    <w:p>
      <w:pPr>
        <w:jc w:val="both"/>
      </w:pPr>
      <w:r>
        <w:rPr>
          <w:b w:val="0"/>
          <w:i w:val="0"/>
        </w:rPr>
        <w:t>5.3. Cəmiyyət etibarnaməni istənilən vaxt ləğv edə, Nümayəndə isə ondan istənilən vaxt imtina edə bilər (maddə 365.2). Etibarnaməyə xitam verildikdə Nümayəndə onu dərhal Cəmiyyətə qaytarır (maddə 366.3).</w:t>
      </w:r>
    </w:p>
    <w:p>
      <w:pPr>
        <w:keepNext/>
        <w:spacing w:after="80" w:before="200"/>
        <w:jc w:val="left"/>
      </w:pPr>
      <w:r>
        <w:rPr>
          <w:b/>
          <w:i w:val="0"/>
        </w:rPr>
        <w:t>6. İMZALAR</w:t>
      </w:r>
    </w:p>
    <w:p>
      <w:pPr>
        <w:jc w:val="both"/>
      </w:pPr>
      <w:r>
        <w:rPr>
          <w:b w:val="0"/>
          <w:i w:val="0"/>
        </w:rPr>
        <w:t>Nümayəndənin imza nümunəsi: ______________________  (____________________) — imzasını təsdiq edirəm.</w:t>
      </w:r>
    </w:p>
    <w:p>
      <w:pPr>
        <w:jc w:val="both"/>
      </w:pPr>
    </w:p>
    <w:p>
      <w:pPr>
        <w:spacing w:after="40"/>
        <w:jc w:val="both"/>
      </w:pPr>
      <w:r>
        <w:rPr>
          <w:b/>
          <w:i w:val="0"/>
        </w:rPr>
        <w:t>Direktor</w:t>
      </w:r>
      <w:r>
        <w:rPr>
          <w:b w:val="0"/>
          <w:i w:val="0"/>
        </w:rPr>
        <w:t xml:space="preserve">  ______________________  /____________________/</w:t>
      </w:r>
    </w:p>
    <w:p>
      <w:pPr>
        <w:jc w:val="both"/>
      </w:pPr>
      <w:r>
        <w:rPr>
          <w:b/>
          <w:i w:val="0"/>
        </w:rPr>
        <w:t>M.Y.</w:t>
      </w:r>
    </w:p>
    <w:p>
      <w:pPr>
        <w:spacing w:before="120"/>
        <w:jc w:val="both"/>
      </w:pPr>
      <w:r>
        <w:rPr>
          <w:b w:val="0"/>
          <w:i/>
          <w:sz w:val="19"/>
        </w:rPr>
        <w:t>(Etibarnamə Cəmiyyətin rəhbəri və ya təsis sənədləri ilə buna səlahiyyəti olan digər şəxs tərəfindən imzalanır və Cəmiyyətin möhürü vurulur — Mülki Məcəllə, maddə 362.5; Mülki Prosessual Məcəllə, maddə 73.4.)</w:t>
      </w:r>
    </w:p>
    <w:p>
      <w:r>
        <w:br w:type="page"/>
      </w:r>
    </w:p>
    <w:p>
      <w:pPr>
        <w:spacing w:after="80"/>
        <w:jc w:val="center"/>
      </w:pPr>
      <w:r>
        <w:rPr>
          <w:b/>
          <w:i w:val="0"/>
          <w:sz w:val="26"/>
        </w:rPr>
        <w:t>DOLDURMA QAYDASI VƏ HÜQUQİ QEYDLƏR</w:t>
      </w:r>
    </w:p>
    <w:p>
      <w:pPr>
        <w:spacing w:after="200"/>
        <w:jc w:val="center"/>
      </w:pPr>
      <w:r>
        <w:rPr>
          <w:b w:val="0"/>
          <w:i/>
          <w:sz w:val="20"/>
        </w:rPr>
        <w:t>(bu səhifə etibarnamənin hissəsi deyil; çap etməzdən əvvəl silin)</w:t>
      </w:r>
    </w:p>
    <w:p>
      <w:pPr>
        <w:spacing w:after="80" w:before="200"/>
        <w:jc w:val="left"/>
      </w:pPr>
      <w:r>
        <w:rPr>
          <w:b/>
          <w:i w:val="0"/>
        </w:rPr>
        <w:t>Doldurma qaydası</w:t>
      </w:r>
    </w:p>
    <w:p>
      <w:pPr>
        <w:ind w:left="340"/>
        <w:jc w:val="both"/>
      </w:pPr>
      <w:r>
        <w:rPr>
          <w:b w:val="0"/>
          <w:i w:val="0"/>
        </w:rPr>
        <w:t>— Tarixi mütləq yazın, həm rəqəmlə, həm də sözlə: tarixi göstərilməyən etibarnamə hüquqi əhəmiyyətə malik deyil (Mülki Məcəllə, maddə 363.1).</w:t>
      </w:r>
    </w:p>
    <w:p>
      <w:pPr>
        <w:ind w:left="340"/>
        <w:jc w:val="both"/>
      </w:pPr>
      <w:r>
        <w:rPr>
          <w:b w:val="0"/>
          <w:i w:val="0"/>
        </w:rPr>
        <w:t>— Etibarnamə Cəmiyyətin blankında çap oluna bilər. Nömrəni verilmiş etibarnamələrin uçot jurnalına yazın: ləğv zamanı kimə və nə vaxt verildiyini bilmək lazım olacaq.</w:t>
      </w:r>
    </w:p>
    <w:p>
      <w:pPr>
        <w:ind w:left="340"/>
        <w:jc w:val="both"/>
      </w:pPr>
      <w:r>
        <w:rPr>
          <w:b w:val="0"/>
          <w:i w:val="0"/>
        </w:rPr>
        <w:t>— ☐ işarəli bəndlərdə lazım olan variantı saxlayın. 3.2-ci bənddə verilməyən xüsusi səlahiyyətləri xətt çəkərək silin ki, sonradan əlavə edilməsin.</w:t>
      </w:r>
    </w:p>
    <w:p>
      <w:pPr>
        <w:ind w:left="340"/>
        <w:jc w:val="both"/>
      </w:pPr>
      <w:r>
        <w:rPr>
          <w:b w:val="0"/>
          <w:i w:val="0"/>
        </w:rPr>
        <w:t>— Konkret bir iş üçün etibarnamə verilirsə, 1-ci bölmədə yalnız aidiyyəti qurumu saxlamaq və səlahiyyətləri həmin işlə məhdudlaşdırmaq daha təhlükəsizdir.</w:t>
      </w:r>
    </w:p>
    <w:p>
      <w:pPr>
        <w:spacing w:after="80" w:before="200"/>
        <w:jc w:val="left"/>
      </w:pPr>
      <w:r>
        <w:rPr>
          <w:b/>
          <w:i w:val="0"/>
        </w:rPr>
        <w:t>Hüquqi qeydlər</w:t>
      </w:r>
    </w:p>
    <w:p>
      <w:pPr>
        <w:ind w:left="340"/>
        <w:jc w:val="both"/>
      </w:pPr>
      <w:r>
        <w:rPr>
          <w:b w:val="0"/>
          <w:i w:val="0"/>
        </w:rPr>
        <w:t>— Hüquqi şəxs adından etibarnamə notariat təsdiqi tələb etmir; onun rəhbərinin (və ya nizamnamə ilə səlahiyyət verilmiş şəxsin) imzası və möhürlə verilir (Mülki Məcəllə, maddə 362.5). Notariat təsdiqi yalnız notariat forması tələb edən əqdlər üçün lazımdır (maddə 362.2) — məsələn, daşınmaz əmlakla əqdlər.</w:t>
      </w:r>
    </w:p>
    <w:p>
      <w:pPr>
        <w:ind w:left="340"/>
        <w:jc w:val="both"/>
      </w:pPr>
      <w:r>
        <w:rPr>
          <w:b w:val="0"/>
          <w:i w:val="0"/>
        </w:rPr>
        <w:t>— Məhkəmədə hüquqi şəxsi yalnız onun səlahiyyətli şəxsləri, əsas iş yeri həmin hüquqi şəxs olan işçiləri və ya vəkillər təmsil edə bilər (Mülki Prosessual Məcəllə, maddə 69.2). Eyni qayda inzibati məhkəmələrdə də tətbiq olunur (İnzibati Prosessual Məcəllə, maddələr 26.2, 31.1). Əvəzçi işçi və ya kənar məsləhətçi bu etibarnamə ilə məhkəmədə Cəmiyyəti təmsil edə bilməz; vəkilin səlahiyyəti qanunla müəyyən olunmuş qaydada (order) təsdiq edilir (Mülki Prosessual Məcəllə, maddə 73.5).</w:t>
      </w:r>
    </w:p>
    <w:p>
      <w:pPr>
        <w:ind w:left="340"/>
        <w:jc w:val="both"/>
      </w:pPr>
      <w:r>
        <w:rPr>
          <w:b w:val="0"/>
          <w:i w:val="0"/>
        </w:rPr>
        <w:t>— İddia ərizəsinin imzalanması, iddiadan imtina, barışıq, şikayət vermə, icra və pulun alınması kimi səlahiyyətlər etibarnamədə xüsusi göstərilməlidir; göstərilmədikdə nümayəndə bu hərəkətləri edə bilməz (Mülki Prosessual Məcəllə, maddə 74.2).</w:t>
      </w:r>
    </w:p>
    <w:p>
      <w:pPr>
        <w:ind w:left="340"/>
        <w:jc w:val="both"/>
      </w:pPr>
      <w:r>
        <w:rPr>
          <w:b w:val="0"/>
          <w:i w:val="0"/>
        </w:rPr>
        <w:t>— Vergi ödəyicisi vergi münasibətlərində qanuni və ya səlahiyyətli nümayəndəsi vasitəsi ilə iştirak edə bilər (Vergi Məcəlləsi, maddə 15.3).</w:t>
      </w:r>
    </w:p>
    <w:p>
      <w:pPr>
        <w:ind w:left="340"/>
        <w:jc w:val="both"/>
      </w:pPr>
      <w:r>
        <w:rPr>
          <w:b w:val="0"/>
          <w:i w:val="0"/>
        </w:rPr>
        <w:t>— Gömrük orqanlarında birbaşa təmsilçilik hüquqi şəxsin rəhbərinin imzası və möhürü ilə verilmiş etibarnamə əsasında fiziki şəxs tərəfindən həyata keçirilir (Gömrük Məcəlləsi, maddə 23.1, 23.2). Diqqət: birbaşa gömrük təmsilçisi gömrük rəsmiləşdirilməsi zamanı malları müstəqil keçirən şəxsin bütün vəzifələrini yerinə yetirir və onun kimi məsuliyyət daşıyır (maddə 23.3). Gömrük orqanı təmsilçilik sənədi təqdim edilmədikdə təmsilçiliyi tanımır (maddə 69.2).</w:t>
      </w:r>
    </w:p>
    <w:p>
      <w:pPr>
        <w:ind w:left="340"/>
        <w:jc w:val="both"/>
      </w:pPr>
      <w:r>
        <w:rPr>
          <w:b w:val="0"/>
          <w:i w:val="0"/>
        </w:rPr>
        <w:t>— İnzibati xəta haqqında işlərdə hüquqi şəxsin müdafiəçisi vəkil olmaya da bilər; yalnız vəkil tələbi fiziki şəxslərə və məhkəmədə baxılan işlərə aiddir (İnzibati Xətalar Məcəlləsi, maddə 65.1-1, 65.2).</w:t>
      </w:r>
    </w:p>
    <w:p>
      <w:pPr>
        <w:ind w:left="340"/>
        <w:jc w:val="both"/>
      </w:pPr>
      <w:r>
        <w:rPr>
          <w:b w:val="0"/>
          <w:i w:val="0"/>
        </w:rPr>
        <w:t>— Etibarnamə ləğv edildikdə Cəmiyyət Nümayəndəni və etibarnamənin təqdim edildiyi məlum qurumları xəbərdar etməlidir; əks halda Nümayəndənin xitamdan xəbərsiz etdiyi hərəkətlər Cəmiyyət üçün qüvvədə qalır (Mülki Məcəllə, maddə 366.1, 366.2).</w:t>
      </w:r>
    </w:p>
    <w:p>
      <w:pPr>
        <w:ind w:left="340"/>
        <w:jc w:val="both"/>
      </w:pPr>
      <w:r>
        <w:rPr>
          <w:b w:val="0"/>
          <w:i w:val="0"/>
        </w:rPr>
        <w:t>— Qurumların adları 27.10.2026 tarixinə rəsmi mənbələr üzrə yoxlanılıb; o cümlədən 2024-cü ildə Antiinhisar və İstehlak Bazarına Nəzarət Dövlət Xidməti Dövlət Agentliyinə çevrilib, 2026-cı ildə isə İcbari Tibbi Sığorta üzrə Dövlət Agentliyinin əsasında Əmək və Əhalinin Sosial Müdafiəsi Nazirliyinin tabeliyində Dövlət Tibbi Sığorta və Ekspertiza Agentliyi yaradılıb. 1.2-ci bənd sayəsində qurumun adı dəyişdikdə etibarnamə qüvvədə qalır, lakin uzunmüddətli etibarnamələrdə siyahını ildə bir dəfə yeniləmək tövsiyə olunur.</w:t>
      </w:r>
    </w:p>
    <w:p>
      <w:pPr>
        <w:ind w:left="340"/>
        <w:jc w:val="both"/>
      </w:pPr>
      <w:r>
        <w:rPr>
          <w:b w:val="0"/>
          <w:i w:val="0"/>
        </w:rPr>
        <w:t>— Bəzi qurumlar (banklar, gömrük, notariuslar) öz daxili qaydalarına görə əlavə sənəd və ya öz forma etibarnaməsini tələb edə bilər; belə hallarda həmin qurumun tələbini əvvəlcədən dəqiqləşdirin.</w:t>
      </w:r>
    </w:p>
    <w:p>
      <w:pPr>
        <w:spacing w:after="80" w:before="200"/>
        <w:jc w:val="left"/>
      </w:pPr>
      <w:r>
        <w:rPr>
          <w:b/>
          <w:i w:val="0"/>
        </w:rPr>
        <w:t>İstinad edilən maddələr</w:t>
      </w:r>
    </w:p>
    <w:tbl>
      <w:tblPr>
        <w:tblStyle w:val="TableGrid"/>
        <w:tblW w:type="dxa" w:w="9355"/>
        <w:jc w:val="center"/>
        <w:tblLayout w:type="fixed"/>
        <w:tblLook w:firstColumn="1" w:firstRow="1" w:lastColumn="0" w:lastRow="0" w:noHBand="0" w:noVBand="1" w:val="04A0"/>
      </w:tblPr>
      <w:tblGrid>
        <w:gridCol w:w="3402"/>
        <w:gridCol w:w="5953"/>
      </w:tblGrid>
      <w:tr>
        <w:trPr>
          <w:cantSplit/>
        </w:trPr>
        <w:tc>
          <w:tcPr>
            <w:tcW w:type="dxa" w:w="3402"/>
          </w:tcPr>
          <w:p>
            <w:pPr>
              <w:spacing w:after="20"/>
            </w:pPr>
            <w:r/>
            <w:r>
              <w:rPr>
                <w:b/>
                <w:sz w:val="21"/>
              </w:rPr>
              <w:t>Akt, maddə</w:t>
            </w:r>
          </w:p>
        </w:tc>
        <w:tc>
          <w:tcPr>
            <w:tcW w:type="dxa" w:w="5953"/>
          </w:tcPr>
          <w:p>
            <w:pPr>
              <w:spacing w:after="20"/>
            </w:pPr>
            <w:r/>
            <w:r>
              <w:rPr>
                <w:b/>
                <w:sz w:val="21"/>
              </w:rPr>
              <w:t>Məzmun</w:t>
            </w:r>
          </w:p>
        </w:tc>
      </w:tr>
      <w:tr>
        <w:trPr>
          <w:cantSplit/>
        </w:trPr>
        <w:tc>
          <w:tcPr>
            <w:tcW w:type="dxa" w:w="3402"/>
          </w:tcPr>
          <w:p>
            <w:pPr>
              <w:spacing w:after="20"/>
            </w:pPr>
            <w:r/>
            <w:r>
              <w:rPr>
                <w:b w:val="0"/>
                <w:sz w:val="21"/>
              </w:rPr>
              <w:t>Mülki Məcəllə, 359</w:t>
            </w:r>
          </w:p>
        </w:tc>
        <w:tc>
          <w:tcPr>
            <w:tcW w:type="dxa" w:w="5953"/>
          </w:tcPr>
          <w:p>
            <w:pPr>
              <w:spacing w:after="20"/>
            </w:pPr>
            <w:r/>
            <w:r>
              <w:rPr>
                <w:b w:val="0"/>
                <w:sz w:val="21"/>
              </w:rPr>
              <w:t>Əqdlərdə təmsilçilik</w:t>
            </w:r>
          </w:p>
        </w:tc>
      </w:tr>
      <w:tr>
        <w:trPr>
          <w:cantSplit/>
        </w:trPr>
        <w:tc>
          <w:tcPr>
            <w:tcW w:type="dxa" w:w="3402"/>
          </w:tcPr>
          <w:p>
            <w:pPr>
              <w:spacing w:after="20"/>
            </w:pPr>
            <w:r/>
            <w:r>
              <w:rPr>
                <w:b w:val="0"/>
                <w:sz w:val="21"/>
              </w:rPr>
              <w:t>Mülki Məcəllə, 362</w:t>
            </w:r>
          </w:p>
        </w:tc>
        <w:tc>
          <w:tcPr>
            <w:tcW w:type="dxa" w:w="5953"/>
          </w:tcPr>
          <w:p>
            <w:pPr>
              <w:spacing w:after="20"/>
            </w:pPr>
            <w:r/>
            <w:r>
              <w:rPr>
                <w:b w:val="0"/>
                <w:sz w:val="21"/>
              </w:rPr>
              <w:t>Etibarnamə, forması; hüquqi şəxsin etibarnaməsi (362.5)</w:t>
            </w:r>
          </w:p>
        </w:tc>
      </w:tr>
      <w:tr>
        <w:trPr>
          <w:cantSplit/>
        </w:trPr>
        <w:tc>
          <w:tcPr>
            <w:tcW w:type="dxa" w:w="3402"/>
          </w:tcPr>
          <w:p>
            <w:pPr>
              <w:spacing w:after="20"/>
            </w:pPr>
            <w:r/>
            <w:r>
              <w:rPr>
                <w:b w:val="0"/>
                <w:sz w:val="21"/>
              </w:rPr>
              <w:t>Mülki Məcəllə, 363</w:t>
            </w:r>
          </w:p>
        </w:tc>
        <w:tc>
          <w:tcPr>
            <w:tcW w:type="dxa" w:w="5953"/>
          </w:tcPr>
          <w:p>
            <w:pPr>
              <w:spacing w:after="20"/>
            </w:pPr>
            <w:r/>
            <w:r>
              <w:rPr>
                <w:b w:val="0"/>
                <w:sz w:val="21"/>
              </w:rPr>
              <w:t>Etibarnamənin müddəti</w:t>
            </w:r>
          </w:p>
        </w:tc>
      </w:tr>
      <w:tr>
        <w:trPr>
          <w:cantSplit/>
        </w:trPr>
        <w:tc>
          <w:tcPr>
            <w:tcW w:type="dxa" w:w="3402"/>
          </w:tcPr>
          <w:p>
            <w:pPr>
              <w:spacing w:after="20"/>
            </w:pPr>
            <w:r/>
            <w:r>
              <w:rPr>
                <w:b w:val="0"/>
                <w:sz w:val="21"/>
              </w:rPr>
              <w:t>Mülki Məcəllə, 364</w:t>
            </w:r>
          </w:p>
        </w:tc>
        <w:tc>
          <w:tcPr>
            <w:tcW w:type="dxa" w:w="5953"/>
          </w:tcPr>
          <w:p>
            <w:pPr>
              <w:spacing w:after="20"/>
            </w:pPr>
            <w:r/>
            <w:r>
              <w:rPr>
                <w:b w:val="0"/>
                <w:sz w:val="21"/>
              </w:rPr>
              <w:t>Etibar edilmişi etibaretmə</w:t>
            </w:r>
          </w:p>
        </w:tc>
      </w:tr>
      <w:tr>
        <w:trPr>
          <w:cantSplit/>
        </w:trPr>
        <w:tc>
          <w:tcPr>
            <w:tcW w:type="dxa" w:w="3402"/>
          </w:tcPr>
          <w:p>
            <w:pPr>
              <w:spacing w:after="20"/>
            </w:pPr>
            <w:r/>
            <w:r>
              <w:rPr>
                <w:b w:val="0"/>
                <w:sz w:val="21"/>
              </w:rPr>
              <w:t>Mülki Məcəllə, 365, 366</w:t>
            </w:r>
          </w:p>
        </w:tc>
        <w:tc>
          <w:tcPr>
            <w:tcW w:type="dxa" w:w="5953"/>
          </w:tcPr>
          <w:p>
            <w:pPr>
              <w:spacing w:after="20"/>
            </w:pPr>
            <w:r/>
            <w:r>
              <w:rPr>
                <w:b w:val="0"/>
                <w:sz w:val="21"/>
              </w:rPr>
              <w:t>Etibarnaməyə xitam və onun nəticələri</w:t>
            </w:r>
          </w:p>
        </w:tc>
      </w:tr>
      <w:tr>
        <w:trPr>
          <w:cantSplit/>
        </w:trPr>
        <w:tc>
          <w:tcPr>
            <w:tcW w:type="dxa" w:w="3402"/>
          </w:tcPr>
          <w:p>
            <w:pPr>
              <w:spacing w:after="20"/>
            </w:pPr>
            <w:r/>
            <w:r>
              <w:rPr>
                <w:b w:val="0"/>
                <w:sz w:val="21"/>
              </w:rPr>
              <w:t>Mülki Prosessual Məcəllə, 69</w:t>
            </w:r>
          </w:p>
        </w:tc>
        <w:tc>
          <w:tcPr>
            <w:tcW w:type="dxa" w:w="5953"/>
          </w:tcPr>
          <w:p>
            <w:pPr>
              <w:spacing w:after="20"/>
            </w:pPr>
            <w:r/>
            <w:r>
              <w:rPr>
                <w:b w:val="0"/>
                <w:sz w:val="21"/>
              </w:rPr>
              <w:t>Nümayəndə vasitəsilə işin aparılması</w:t>
            </w:r>
          </w:p>
        </w:tc>
      </w:tr>
      <w:tr>
        <w:trPr>
          <w:cantSplit/>
        </w:trPr>
        <w:tc>
          <w:tcPr>
            <w:tcW w:type="dxa" w:w="3402"/>
          </w:tcPr>
          <w:p>
            <w:pPr>
              <w:spacing w:after="20"/>
            </w:pPr>
            <w:r/>
            <w:r>
              <w:rPr>
                <w:b w:val="0"/>
                <w:sz w:val="21"/>
              </w:rPr>
              <w:t>Mülki Prosessual Məcəllə, 73</w:t>
            </w:r>
          </w:p>
        </w:tc>
        <w:tc>
          <w:tcPr>
            <w:tcW w:type="dxa" w:w="5953"/>
          </w:tcPr>
          <w:p>
            <w:pPr>
              <w:spacing w:after="20"/>
            </w:pPr>
            <w:r/>
            <w:r>
              <w:rPr>
                <w:b w:val="0"/>
                <w:sz w:val="21"/>
              </w:rPr>
              <w:t>Nümayəndənin səlahiyyətinin rəsmiləşdirilməsi</w:t>
            </w:r>
          </w:p>
        </w:tc>
      </w:tr>
      <w:tr>
        <w:trPr>
          <w:cantSplit/>
        </w:trPr>
        <w:tc>
          <w:tcPr>
            <w:tcW w:type="dxa" w:w="3402"/>
          </w:tcPr>
          <w:p>
            <w:pPr>
              <w:spacing w:after="20"/>
            </w:pPr>
            <w:r/>
            <w:r>
              <w:rPr>
                <w:b w:val="0"/>
                <w:sz w:val="21"/>
              </w:rPr>
              <w:t>Mülki Prosessual Məcəllə, 74</w:t>
            </w:r>
          </w:p>
        </w:tc>
        <w:tc>
          <w:tcPr>
            <w:tcW w:type="dxa" w:w="5953"/>
          </w:tcPr>
          <w:p>
            <w:pPr>
              <w:spacing w:after="20"/>
            </w:pPr>
            <w:r/>
            <w:r>
              <w:rPr>
                <w:b w:val="0"/>
                <w:sz w:val="21"/>
              </w:rPr>
              <w:t>Nümayəndənin səlahiyyəti, xüsusi səlahiyyətlər</w:t>
            </w:r>
          </w:p>
        </w:tc>
      </w:tr>
      <w:tr>
        <w:trPr>
          <w:cantSplit/>
        </w:trPr>
        <w:tc>
          <w:tcPr>
            <w:tcW w:type="dxa" w:w="3402"/>
          </w:tcPr>
          <w:p>
            <w:pPr>
              <w:spacing w:after="20"/>
            </w:pPr>
            <w:r/>
            <w:r>
              <w:rPr>
                <w:b w:val="0"/>
                <w:sz w:val="21"/>
              </w:rPr>
              <w:t>İnzibati Prosessual Məcəllə, 26.2, 31</w:t>
            </w:r>
          </w:p>
        </w:tc>
        <w:tc>
          <w:tcPr>
            <w:tcW w:type="dxa" w:w="5953"/>
          </w:tcPr>
          <w:p>
            <w:pPr>
              <w:spacing w:after="20"/>
            </w:pPr>
            <w:r/>
            <w:r>
              <w:rPr>
                <w:b w:val="0"/>
                <w:sz w:val="21"/>
              </w:rPr>
              <w:t>Hüquqi şəxsin inzibati məhkəmədə təmsili</w:t>
            </w:r>
          </w:p>
        </w:tc>
      </w:tr>
      <w:tr>
        <w:trPr>
          <w:cantSplit/>
        </w:trPr>
        <w:tc>
          <w:tcPr>
            <w:tcW w:type="dxa" w:w="3402"/>
          </w:tcPr>
          <w:p>
            <w:pPr>
              <w:spacing w:after="20"/>
            </w:pPr>
            <w:r/>
            <w:r>
              <w:rPr>
                <w:b w:val="0"/>
                <w:sz w:val="21"/>
              </w:rPr>
              <w:t>Vergi Məcəlləsi, 15.3</w:t>
            </w:r>
          </w:p>
        </w:tc>
        <w:tc>
          <w:tcPr>
            <w:tcW w:type="dxa" w:w="5953"/>
          </w:tcPr>
          <w:p>
            <w:pPr>
              <w:spacing w:after="20"/>
            </w:pPr>
            <w:r/>
            <w:r>
              <w:rPr>
                <w:b w:val="0"/>
                <w:sz w:val="21"/>
              </w:rPr>
              <w:t>Vergi münasibətlərində nümayəndə vasitəsilə iştirak</w:t>
            </w:r>
          </w:p>
        </w:tc>
      </w:tr>
      <w:tr>
        <w:trPr>
          <w:cantSplit/>
        </w:trPr>
        <w:tc>
          <w:tcPr>
            <w:tcW w:type="dxa" w:w="3402"/>
          </w:tcPr>
          <w:p>
            <w:pPr>
              <w:spacing w:after="20"/>
            </w:pPr>
            <w:r/>
            <w:r>
              <w:rPr>
                <w:b w:val="0"/>
                <w:sz w:val="21"/>
              </w:rPr>
              <w:t>Gömrük Məcəlləsi, 21, 23, 69</w:t>
            </w:r>
          </w:p>
        </w:tc>
        <w:tc>
          <w:tcPr>
            <w:tcW w:type="dxa" w:w="5953"/>
          </w:tcPr>
          <w:p>
            <w:pPr>
              <w:spacing w:after="20"/>
            </w:pPr>
            <w:r/>
            <w:r>
              <w:rPr>
                <w:b w:val="0"/>
                <w:sz w:val="21"/>
              </w:rPr>
              <w:t>Gömrük təmsilçiliyi, təmsilçilik sənədi</w:t>
            </w:r>
          </w:p>
        </w:tc>
      </w:tr>
      <w:tr>
        <w:trPr>
          <w:cantSplit/>
        </w:trPr>
        <w:tc>
          <w:tcPr>
            <w:tcW w:type="dxa" w:w="3402"/>
          </w:tcPr>
          <w:p>
            <w:pPr>
              <w:spacing w:after="20"/>
            </w:pPr>
            <w:r/>
            <w:r>
              <w:rPr>
                <w:b w:val="0"/>
                <w:sz w:val="21"/>
              </w:rPr>
              <w:t>İnzibati Xətalar Məcəlləsi, 65</w:t>
            </w:r>
          </w:p>
        </w:tc>
        <w:tc>
          <w:tcPr>
            <w:tcW w:type="dxa" w:w="5953"/>
          </w:tcPr>
          <w:p>
            <w:pPr>
              <w:spacing w:after="20"/>
            </w:pPr>
            <w:r/>
            <w:r>
              <w:rPr>
                <w:b w:val="0"/>
                <w:sz w:val="21"/>
              </w:rPr>
              <w:t>Müdafiəçi və nümayəndə</w:t>
            </w:r>
          </w:p>
        </w:tc>
      </w:tr>
    </w:tbl>
    <w:p>
      <w:pPr>
        <w:spacing w:after="40"/>
      </w:pPr>
    </w:p>
    <w:p>
      <w:pPr>
        <w:spacing w:before="160"/>
        <w:jc w:val="both"/>
      </w:pPr>
      <w:r>
        <w:rPr>
          <w:b w:val="0"/>
          <w:i/>
          <w:sz w:val="19"/>
        </w:rPr>
        <w:t>Maddələr e-qanun.az-dakı hazırkı redaksiyalarla yoxlanılıb (27.10.2026). Nümunə məlumat xarakterlidir və hüquqi məsləhət deyil.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