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2"/>
        </w:rPr>
        <w:t>ДОВЕРЕННОСТЬ</w:t>
      </w:r>
    </w:p>
    <w:p>
      <w:pPr>
        <w:spacing w:after="40"/>
        <w:jc w:val="center"/>
      </w:pPr>
      <w:r>
        <w:rPr>
          <w:i/>
        </w:rPr>
        <w:t>(от имени юридического лица, на представительство в государственных органах и иных организациях)</w:t>
      </w:r>
    </w:p>
    <w:p>
      <w:pPr>
        <w:spacing w:after="200"/>
        <w:jc w:val="center"/>
      </w:pPr>
      <w:r>
        <w:rPr>
          <w:b w:val="0"/>
          <w:i w:val="0"/>
        </w:rPr>
        <w:t>№ 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34"/>
        <w:gridCol w:w="4734"/>
      </w:tblGrid>
      <w:tr>
        <w:trPr>
          <w:cantSplit/>
        </w:trPr>
        <w:tc>
          <w:tcPr>
            <w:tcW w:type="dxa" w:w="4734"/>
          </w:tcPr>
          <w:p>
            <w:r>
              <w:rPr/>
              <w:t>г. Баку</w:t>
            </w:r>
          </w:p>
        </w:tc>
        <w:tc>
          <w:tcPr>
            <w:tcW w:type="dxa" w:w="4734"/>
          </w:tcPr>
          <w:p>
            <w:pPr>
              <w:jc w:val="right"/>
            </w:pPr>
            <w:r>
              <w:rPr/>
              <w:t>«____» ____________ 20___ г.</w:t>
            </w:r>
          </w:p>
        </w:tc>
      </w:tr>
    </w:tbl>
    <w:p>
      <w:pPr>
        <w:spacing w:after="160"/>
        <w:jc w:val="right"/>
      </w:pPr>
      <w:r>
        <w:rPr>
          <w:i/>
          <w:sz w:val="18"/>
        </w:rPr>
        <w:t>(______________________________________________ — дата прописью)</w:t>
      </w:r>
    </w:p>
    <w:p>
      <w:pPr>
        <w:jc w:val="both"/>
      </w:pPr>
      <w:r>
        <w:rPr>
          <w:i w:val="0"/>
        </w:rPr>
        <w:t xml:space="preserve">Общество с ограниченной ответственностью </w:t>
      </w:r>
      <w:r>
        <w:rPr>
          <w:b/>
          <w:i w:val="0"/>
        </w:rPr>
        <w:t>«____________________»</w:t>
      </w:r>
      <w:r>
        <w:rPr>
          <w:i w:val="0"/>
        </w:rPr>
        <w:t xml:space="preserve"> (ИНН (VÖEN): __________________, юридический адрес: ________________________________________) (далее — </w:t>
      </w:r>
      <w:r>
        <w:rPr>
          <w:b/>
          <w:i w:val="0"/>
        </w:rPr>
        <w:t>«Общество»</w:t>
      </w:r>
      <w:r>
        <w:rPr>
          <w:i w:val="0"/>
        </w:rPr>
        <w:t xml:space="preserve">), в лице директора ____________________ (фамилия, имя, отчество), действующего на основании устава, настоящей доверенностью уполномочивает следующее лицо (далее — </w:t>
      </w:r>
      <w:r>
        <w:rPr>
          <w:b/>
          <w:i w:val="0"/>
        </w:rPr>
        <w:t>«Представитель»</w:t>
      </w:r>
      <w:r>
        <w:rPr>
          <w:i w:val="0"/>
        </w:rPr>
        <w:t>) представлять Общество:</w:t>
      </w:r>
    </w:p>
    <w:tbl>
      <w:tblPr>
        <w:tblStyle w:val="TableGrid"/>
        <w:tblW w:type="dxa" w:w="9355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536"/>
      </w:tblGrid>
      <w:tr>
        <w:trPr>
          <w:cantSplit/>
        </w:trPr>
        <w:tc>
          <w:tcPr>
            <w:tcW w:type="dxa" w:w="4819"/>
          </w:tcPr>
          <w:p>
            <w:pPr>
              <w:spacing w:after="20"/>
            </w:pPr>
            <w:r>
              <w:rPr>
                <w:b/>
                <w:sz w:val="21"/>
              </w:rPr>
              <w:t>Сведения о Представителе</w:t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b/>
                <w:sz w:val="21"/>
              </w:rPr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20"/>
            </w:pPr>
            <w:r>
              <w:rPr>
                <w:sz w:val="21"/>
              </w:rPr>
              <w:t>Фамилия, имя, отчество</w:t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20"/>
            </w:pPr>
            <w:r>
              <w:rPr>
                <w:sz w:val="21"/>
              </w:rPr>
              <w:t>Серия, номер удостоверения личности, дата выдачи и выдавший орган</w:t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20"/>
            </w:pPr>
            <w:r>
              <w:rPr>
                <w:sz w:val="21"/>
              </w:rPr>
              <w:t>ФИН</w:t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20"/>
            </w:pPr>
            <w:r>
              <w:rPr>
                <w:sz w:val="21"/>
              </w:rPr>
              <w:t>Адрес регистрации</w:t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20"/>
            </w:pPr>
            <w:r>
              <w:rPr>
                <w:sz w:val="21"/>
              </w:rPr>
              <w:t>Должность в Обществе (для работника) или номер удостоверения адвоката</w:t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</w:tr>
    </w:tbl>
    <w:p>
      <w:pPr>
        <w:spacing w:after="40"/>
      </w:pPr>
    </w:p>
    <w:p>
      <w:pPr>
        <w:keepNext/>
        <w:spacing w:after="80" w:before="200"/>
        <w:jc w:val="left"/>
      </w:pPr>
      <w:r>
        <w:rPr>
          <w:b/>
          <w:i w:val="0"/>
        </w:rPr>
        <w:t>1. ОБЪЁМ ПРЕДСТАВИТЕЛЬСТВА</w:t>
      </w:r>
    </w:p>
    <w:p>
      <w:pPr>
        <w:jc w:val="both"/>
      </w:pPr>
      <w:r>
        <w:rPr>
          <w:i w:val="0"/>
        </w:rPr>
        <w:t>1.1. Представитель представляет Общество во всех органах государственной власти и управления Азербайджанской Республики, их структурных, региональных и территориальных подразделениях, публичных юридических лицах, органах местного самоуправления (муниципалитетах), а также во всех юридических лицах независимо от формы собственности, в том числе в следующих:</w:t>
      </w:r>
    </w:p>
    <w:tbl>
      <w:tblPr>
        <w:tblStyle w:val="TableGrid"/>
        <w:tblW w:type="dxa" w:w="9355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087"/>
      </w:tblGrid>
      <w:tr>
        <w:trPr>
          <w:cantSplit/>
        </w:trPr>
        <w:tc>
          <w:tcPr>
            <w:tcW w:type="dxa" w:w="2268"/>
          </w:tcPr>
          <w:p>
            <w:pPr>
              <w:spacing w:after="20"/>
            </w:pPr>
            <w:r>
              <w:rPr>
                <w:b/>
                <w:sz w:val="21"/>
              </w:rPr>
              <w:t>Сфера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b/>
                <w:sz w:val="21"/>
              </w:rPr>
              <w:t>Органы и организации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20"/>
            </w:pPr>
            <w:r>
              <w:rPr>
                <w:sz w:val="21"/>
              </w:rPr>
              <w:t>Налоги и экономика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sz w:val="21"/>
              </w:rPr>
              <w:t>Министерство экономики Азербайджанской Республики; Государственная налоговая служба при Министерстве экономики, её Аппарат, главные управления (в том числе Главное управление местных доходов города Баку, Главное управление национальных доходов, Главное управление контроля за оборотом подакцизных и маркируемых товаров), территориальные (главные) управления налогов и иные структурные подразделения; Государственная служба по имущественным вопросам при Министерстве экономики (включая государственный реестр недвижимости); Государственное агентство по антимонопольному контролю и надзору за потребительским рынком; Агентство развития малого и среднего бизнеса (KOBİA)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20"/>
            </w:pPr>
            <w:r>
              <w:rPr>
                <w:sz w:val="21"/>
              </w:rPr>
              <w:t>Таможня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sz w:val="21"/>
              </w:rPr>
              <w:t>Государственный таможенный комитет, его главные управления, таможенные управления и таможенные посты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20"/>
            </w:pPr>
            <w:r>
              <w:rPr>
                <w:sz w:val="21"/>
              </w:rPr>
              <w:t>Финансы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sz w:val="21"/>
              </w:rPr>
              <w:t>Министерство финансов Азербайджанской Республики и его Государственное казначейское агентство; Центральный банк Азербайджанской Республики; банки и небанковские кредитные организации, страховые компании, действующие в Азербайджанской Республике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20"/>
            </w:pPr>
            <w:r>
              <w:rPr>
                <w:sz w:val="21"/>
              </w:rPr>
              <w:t>Труд и социальная защита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sz w:val="21"/>
              </w:rPr>
              <w:t>Министерство труда и социальной защиты населения; Государственный фонд социальной защиты; Государственная служба трудовой инспекции; Государственное агентство занятости; Агентство устойчивого и оперативного социального обеспечения (DOST); Государственное агентство медицинского страхования и экспертизы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20"/>
            </w:pPr>
            <w:r>
              <w:rPr>
                <w:sz w:val="21"/>
              </w:rPr>
              <w:t>Юстиция и правоохранительные органы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sz w:val="21"/>
              </w:rPr>
              <w:t>Министерство юстиции и его учреждения, в том числе нотариальные конторы и нотариусы, судебные исполнители; Министерство внутренних дел и его подразделения (в том числе Главное управление государственной дорожной полиции); органы прокуратуры; Государственная миграционная служба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20"/>
            </w:pPr>
            <w:r>
              <w:rPr>
                <w:sz w:val="21"/>
              </w:rPr>
              <w:t>Суды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sz w:val="21"/>
              </w:rPr>
              <w:t>Суды всех инстанций Азербайджанской Республики: суды первой инстанции (суды общей юрисдикции, административные суды и суды, рассматривающие коммерческие споры), апелляционные суды и Верховный суд Азербайджанской Республики, а также третейские (арбитражные) суды и организации медиации — в соответствии с разделом 3 настоящей доверенности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20"/>
            </w:pPr>
            <w:r>
              <w:rPr>
                <w:sz w:val="21"/>
              </w:rPr>
              <w:t>Обслуживание граждан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sz w:val="21"/>
              </w:rPr>
              <w:t>Государственное агентство по обслуживанию граждан и социальным инновациям и центры «ASAN xidmət»; центры «DOST»; Государственный комитет по статистике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20"/>
            </w:pPr>
            <w:r>
              <w:rPr>
                <w:sz w:val="21"/>
              </w:rPr>
              <w:t>Отраслевые министерства и ведомства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sz w:val="21"/>
              </w:rPr>
              <w:t>Министерство цифрового развития и транспорта; Министерство энергетики; Агентство по регулированию энергетики Азербайджана; Министерство экологии и природных ресурсов; Министерство сельского хозяйства; Агентство продовольственной безопасности Азербайджана; Министерство здравоохранения; Министерство по чрезвычайным ситуациям; Комитет по градостроительству и архитектуре; Агентство интеллектуальной собственности; Государственное агентство по туризму; уполномоченные органы в сфере стандартизации, метрологии, аккредитации и оценки соответствия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20"/>
            </w:pPr>
            <w:r>
              <w:rPr>
                <w:sz w:val="21"/>
              </w:rPr>
              <w:t>Местные органы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sz w:val="21"/>
              </w:rPr>
              <w:t>Районные (городские) исполнительные власти и их представительства; муниципалитеты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20"/>
            </w:pPr>
            <w:r>
              <w:rPr>
                <w:sz w:val="21"/>
              </w:rPr>
              <w:t>Коммунальные и иные организации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sz w:val="21"/>
              </w:rPr>
              <w:t>Государственное агентство водных ресурсов Азербайджана, ОАО «Azərişıq», ОАО «Azərsu», ПО «Azəriqaz», ООО «Azərpoçt», операторы связи и интернет-провайдеры, а также иные юридические лица, физические лица и индивидуальные предприниматели</w:t>
            </w:r>
          </w:p>
        </w:tc>
      </w:tr>
    </w:tbl>
    <w:p>
      <w:pPr>
        <w:spacing w:after="40"/>
      </w:pPr>
    </w:p>
    <w:p>
      <w:pPr>
        <w:jc w:val="both"/>
      </w:pPr>
      <w:r>
        <w:rPr>
          <w:i w:val="0"/>
        </w:rPr>
        <w:t>1.2. В случае переименования, реорганизации или ликвидации указанных выше органов Представитель представляет Общество также перед их правопреемниками и органами, осуществляющими их функции. Перечень носит примерный характер и не ограничивает объём представительства.</w:t>
      </w:r>
    </w:p>
    <w:p>
      <w:pPr>
        <w:keepNext/>
        <w:spacing w:after="80" w:before="200"/>
        <w:jc w:val="left"/>
      </w:pPr>
      <w:r>
        <w:rPr>
          <w:b/>
          <w:i w:val="0"/>
        </w:rPr>
        <w:t>2. ПОЛНОМОЧИЯ ПРЕДСТАВИТЕЛЯ</w:t>
      </w:r>
    </w:p>
    <w:p>
      <w:pPr>
        <w:jc w:val="both"/>
      </w:pPr>
      <w:r>
        <w:rPr>
          <w:i w:val="0"/>
        </w:rPr>
        <w:t>2.1. Представитель вправе совершать от имени Общества в органах, указанных в разделе 1, следующие действия:</w:t>
      </w:r>
    </w:p>
    <w:p>
      <w:pPr>
        <w:ind w:left="454"/>
        <w:jc w:val="both"/>
      </w:pPr>
      <w:r>
        <w:rPr>
          <w:i w:val="0"/>
        </w:rPr>
        <w:t>— подписывать, подавать и отзывать заявления, обращения, запросы, объяснения, возражения и жалобы;</w:t>
      </w:r>
    </w:p>
    <w:p>
      <w:pPr>
        <w:ind w:left="454"/>
        <w:jc w:val="both"/>
      </w:pPr>
      <w:r>
        <w:rPr>
          <w:i w:val="0"/>
        </w:rPr>
        <w:t>— подавать и получать документы, справки, выписки, решения, акты, свидетельства, разрешения, лицензии, уведомления и письма, относящиеся к Обществу, снимать и заверять их копии;</w:t>
      </w:r>
    </w:p>
    <w:p>
      <w:pPr>
        <w:ind w:left="454"/>
        <w:jc w:val="both"/>
      </w:pPr>
      <w:r>
        <w:rPr>
          <w:i w:val="0"/>
        </w:rPr>
        <w:t>— совершать действия, связанные с налоговым учётом Общества, постановкой на учёт и снятием с учёта хозяйственных субъектов (объектов), регистрацией и снятием с регистрации контрольно-кассовых аппаратов (POS-терминалов), изменением регистрационных данных;</w:t>
      </w:r>
    </w:p>
    <w:p>
      <w:pPr>
        <w:ind w:left="454"/>
        <w:jc w:val="both"/>
      </w:pPr>
      <w:r>
        <w:rPr>
          <w:i w:val="0"/>
        </w:rPr>
        <w:t>— участвовать в налоговых и иных проверках, камеральных проверках, вызовах в налоговый орган, хронометражных наблюдениях и инвентаризациях, давать объяснения, подписывать акты и протоколы проверок с оговоркой (возражением) или отказываться от их подписания, получать копии актов;</w:t>
      </w:r>
    </w:p>
    <w:p>
      <w:pPr>
        <w:ind w:left="454"/>
        <w:jc w:val="both"/>
      </w:pPr>
      <w:r>
        <w:rPr>
          <w:i w:val="0"/>
        </w:rPr>
        <w:t>— подавать жалобы в административном порядке, участвовать в их рассмотрении;</w:t>
      </w:r>
    </w:p>
    <w:p>
      <w:pPr>
        <w:ind w:left="454"/>
        <w:jc w:val="both"/>
      </w:pPr>
      <w:r>
        <w:rPr>
          <w:i w:val="0"/>
        </w:rPr>
        <w:t>— оплачивать государственные пошлины, сборы за услуги и иные платежи за счёт средств Общества и получать платёжные документы;</w:t>
      </w:r>
    </w:p>
    <w:p>
      <w:pPr>
        <w:ind w:left="454"/>
        <w:jc w:val="both"/>
      </w:pPr>
      <w:r>
        <w:rPr>
          <w:i w:val="0"/>
        </w:rPr>
        <w:t>— в качестве прямого таможенного представителя подавать в таможенный орган от имени Общества таможенную декларацию и иные таможенные документы (в электронной форме), участвовать в таможенном оформлении и досмотре товаров, получать документы, связанные с таможенными платежами (Таможенный кодекс, статья 23);</w:t>
      </w:r>
    </w:p>
    <w:p>
      <w:pPr>
        <w:ind w:left="454"/>
        <w:jc w:val="both"/>
      </w:pPr>
      <w:r>
        <w:rPr>
          <w:i w:val="0"/>
        </w:rPr>
        <w:t>— участвовать в качестве защитника в производстве по делам об административных правонарушениях в отношении Общества: знакомиться с материалами дела, представлять доказательства, заявлять ходатайства и отводы, участвовать в рассмотрении дела, обжаловать постановление (Кодекс об административных проступках, статьи 65.2, 65.4);</w:t>
      </w:r>
    </w:p>
    <w:p>
      <w:pPr>
        <w:ind w:left="454"/>
        <w:jc w:val="both"/>
      </w:pPr>
      <w:r>
        <w:rPr>
          <w:i w:val="0"/>
        </w:rPr>
        <w:t>— подавать и получать документы по вопросам трудовых отношений, социального страхования, обязательного медицинского страхования, занятости и миграции;</w:t>
      </w:r>
    </w:p>
    <w:p>
      <w:pPr>
        <w:ind w:left="454"/>
        <w:jc w:val="both"/>
      </w:pPr>
      <w:r>
        <w:rPr>
          <w:i w:val="0"/>
        </w:rPr>
        <w:t>— подавать и получать документы, связанные с государственной регистрацией имущества, транспортных средств, объектов интеллектуальной собственности, изменением или аннулированием их регистрации (за исключением отчуждения соответствующего права);</w:t>
      </w:r>
    </w:p>
    <w:p>
      <w:pPr>
        <w:ind w:left="454"/>
        <w:jc w:val="both"/>
      </w:pPr>
      <w:r>
        <w:rPr>
          <w:i w:val="0"/>
        </w:rPr>
        <w:t>— вести служебную переписку Общества, подписывать акты приёма-передачи, акты сверки и товарные накладные;</w:t>
      </w:r>
    </w:p>
    <w:p>
      <w:pPr>
        <w:ind w:left="454"/>
        <w:jc w:val="both"/>
      </w:pPr>
      <w:r>
        <w:rPr>
          <w:i w:val="0"/>
        </w:rPr>
        <w:t>— совершать иные действия, необходимые для исполнения поручения, данного настоящей доверенностью.</w:t>
      </w:r>
    </w:p>
    <w:p>
      <w:pPr>
        <w:jc w:val="both"/>
      </w:pPr>
      <w:r>
        <w:rPr>
          <w:i w:val="0"/>
        </w:rPr>
        <w:t>2.2. В электронных информационных системах государства (в том числе в электронном кабинете e-taxes.gov.az) действия от имени Общества совершаются только с использованием предоставленного Представителю в установленном этими системами порядке права доступа и его собственной электронной подписи. Настоящая доверенность не даёт права пользоваться электронной подписью руководителя Общества.</w:t>
      </w:r>
    </w:p>
    <w:p>
      <w:pPr>
        <w:keepNext/>
        <w:spacing w:after="80" w:before="200"/>
        <w:jc w:val="left"/>
      </w:pPr>
      <w:r>
        <w:rPr>
          <w:b/>
          <w:i w:val="0"/>
        </w:rPr>
        <w:t>3. ПРЕДСТАВИТЕЛЬСТВО В СУДАХ</w:t>
      </w:r>
    </w:p>
    <w:p>
      <w:pPr>
        <w:jc w:val="both"/>
      </w:pPr>
      <w:r>
        <w:rPr>
          <w:i w:val="0"/>
        </w:rPr>
        <w:t>3.1. Представитель может представлять Общество в судах, только если является работником, основным местом работы которого является Общество, или адвокатом (Гражданский процессуальный кодекс, статья 69.2; Административно-процессуальный кодекс, статьи 26.2, 31.1). В этом случае Представитель совершает все процессуальные действия, необходимые для успешного разрешения дела (Гражданский процессуальный кодекс, статья 74.1): знакомится с материалами дела, снимает с них выписки и копии, представляет доказательства, заявляет ходатайства и отводы, даёт объяснения, получает копии судебных актов.</w:t>
      </w:r>
    </w:p>
    <w:p>
      <w:pPr>
        <w:jc w:val="both"/>
      </w:pPr>
      <w:r>
        <w:rPr>
          <w:i w:val="0"/>
        </w:rPr>
        <w:t>3.2. Представителю предоставляются также следующие специальные полномочия (Гражданский процессуальный кодекс, статья 74.2) — нужное отметьте ☒, ненужное зачеркните:</w:t>
      </w:r>
    </w:p>
    <w:p>
      <w:pPr>
        <w:ind w:left="454"/>
        <w:jc w:val="both"/>
      </w:pPr>
      <w:r>
        <w:rPr>
          <w:i w:val="0"/>
        </w:rPr>
        <w:t>☐ подписывать исковое заявление и подавать его в суд;</w:t>
      </w:r>
    </w:p>
    <w:p>
      <w:pPr>
        <w:ind w:left="454"/>
        <w:jc w:val="both"/>
      </w:pPr>
      <w:r>
        <w:rPr>
          <w:i w:val="0"/>
        </w:rPr>
        <w:t>☐ передавать дело в третейский суд;</w:t>
      </w:r>
    </w:p>
    <w:p>
      <w:pPr>
        <w:ind w:left="454"/>
        <w:jc w:val="both"/>
      </w:pPr>
      <w:r>
        <w:rPr>
          <w:i w:val="0"/>
        </w:rPr>
        <w:t>☐ полностью или частично отказываться от исковых требований;</w:t>
      </w:r>
    </w:p>
    <w:p>
      <w:pPr>
        <w:ind w:left="454"/>
        <w:jc w:val="both"/>
      </w:pPr>
      <w:r>
        <w:rPr>
          <w:i w:val="0"/>
        </w:rPr>
        <w:t>☐ признавать иск;</w:t>
      </w:r>
    </w:p>
    <w:p>
      <w:pPr>
        <w:ind w:left="454"/>
        <w:jc w:val="both"/>
      </w:pPr>
      <w:r>
        <w:rPr>
          <w:i w:val="0"/>
        </w:rPr>
        <w:t>☐ изменять предмет или основание иска;</w:t>
      </w:r>
    </w:p>
    <w:p>
      <w:pPr>
        <w:ind w:left="454"/>
        <w:jc w:val="both"/>
      </w:pPr>
      <w:r>
        <w:rPr>
          <w:i w:val="0"/>
        </w:rPr>
        <w:t>☐ заключать мировое соглашение;</w:t>
      </w:r>
    </w:p>
    <w:p>
      <w:pPr>
        <w:ind w:left="454"/>
        <w:jc w:val="both"/>
      </w:pPr>
      <w:r>
        <w:rPr>
          <w:i w:val="0"/>
        </w:rPr>
        <w:t>☐ передавать полномочия другому лицу;</w:t>
      </w:r>
    </w:p>
    <w:p>
      <w:pPr>
        <w:ind w:left="454"/>
        <w:jc w:val="both"/>
      </w:pPr>
      <w:r>
        <w:rPr>
          <w:i w:val="0"/>
        </w:rPr>
        <w:t>☐ давать согласие на урегулирование спора посредством медиации;</w:t>
      </w:r>
    </w:p>
    <w:p>
      <w:pPr>
        <w:ind w:left="454"/>
        <w:jc w:val="both"/>
      </w:pPr>
      <w:r>
        <w:rPr>
          <w:i w:val="0"/>
        </w:rPr>
        <w:t>☐ обжаловать судебный акт (в апелляционном, кассационном порядке и т.д.);</w:t>
      </w:r>
    </w:p>
    <w:p>
      <w:pPr>
        <w:ind w:left="454"/>
        <w:jc w:val="both"/>
      </w:pPr>
      <w:r>
        <w:rPr>
          <w:i w:val="0"/>
        </w:rPr>
        <w:t>☐ требовать принудительного исполнения судебного акта, получать исполнительный документ и предъявлять его к исполнению;</w:t>
      </w:r>
    </w:p>
    <w:p>
      <w:pPr>
        <w:ind w:left="454"/>
        <w:jc w:val="both"/>
      </w:pPr>
      <w:r>
        <w:rPr>
          <w:i w:val="0"/>
        </w:rPr>
        <w:t>☐ получать присуждённое имущество или денежные средства.</w:t>
      </w:r>
    </w:p>
    <w:p>
      <w:pPr>
        <w:keepNext/>
        <w:spacing w:after="80" w:before="200"/>
        <w:jc w:val="left"/>
      </w:pPr>
      <w:r>
        <w:rPr>
          <w:b/>
          <w:i w:val="0"/>
        </w:rPr>
        <w:t>4. ОГРАНИЧЕНИЕ ПОЛНОМОЧИЙ</w:t>
      </w:r>
    </w:p>
    <w:p>
      <w:pPr>
        <w:jc w:val="both"/>
      </w:pPr>
      <w:r>
        <w:rPr>
          <w:i w:val="0"/>
        </w:rPr>
        <w:t>4.1. Настоящей доверенностью Представителю не предоставляются следующие права (если это не оговорено особо):</w:t>
      </w:r>
    </w:p>
    <w:p>
      <w:pPr>
        <w:ind w:left="454"/>
        <w:jc w:val="both"/>
      </w:pPr>
      <w:r>
        <w:rPr>
          <w:i w:val="0"/>
        </w:rPr>
        <w:t>— заключать от имени Общества договоры (сделки), принимать долговые обязательства, выдавать гарантии или поручительства;</w:t>
      </w:r>
    </w:p>
    <w:p>
      <w:pPr>
        <w:ind w:left="454"/>
        <w:jc w:val="both"/>
      </w:pPr>
      <w:r>
        <w:rPr>
          <w:i w:val="0"/>
        </w:rPr>
        <w:t>— отчуждать, передавать в залог или в аренду имущество Общества, в том числе недвижимость, транспортные средства и доли в уставном капитале;</w:t>
      </w:r>
    </w:p>
    <w:p>
      <w:pPr>
        <w:ind w:left="454"/>
        <w:jc w:val="both"/>
      </w:pPr>
      <w:r>
        <w:rPr>
          <w:i w:val="0"/>
        </w:rPr>
        <w:t>— открывать и закрывать банковские счета Общества и снимать с них средства;</w:t>
      </w:r>
    </w:p>
    <w:p>
      <w:pPr>
        <w:ind w:left="454"/>
        <w:jc w:val="both"/>
      </w:pPr>
      <w:r>
        <w:rPr>
          <w:i w:val="0"/>
        </w:rPr>
        <w:t>— вносить изменения в учредительные документы Общества, реорганизовывать или ликвидировать его.</w:t>
      </w:r>
    </w:p>
    <w:p>
      <w:pPr>
        <w:jc w:val="left"/>
      </w:pPr>
      <w:r>
        <w:rPr>
          <w:i w:val="0"/>
        </w:rPr>
        <w:t>4.2. ☐ Из этих ограничений устанавливаются следующие исключения: ________________________________________.</w:t>
      </w:r>
    </w:p>
    <w:p>
      <w:pPr>
        <w:jc w:val="both"/>
      </w:pPr>
      <w:r>
        <w:rPr>
          <w:i w:val="0"/>
        </w:rPr>
        <w:t>4.3. Настоящая доверенность не является основанием для заключения сделок, требующих нотариального удостоверения; для таких сделок выдаётся отдельная нотариально удостоверенная доверенность (Гражданский кодекс, статья 362.2).</w:t>
      </w:r>
    </w:p>
    <w:p>
      <w:pPr>
        <w:keepNext/>
        <w:spacing w:after="80" w:before="200"/>
        <w:jc w:val="left"/>
      </w:pPr>
      <w:r>
        <w:rPr>
          <w:b/>
          <w:i w:val="0"/>
        </w:rPr>
        <w:t>5. СРОК И ПРЕКРАЩЕНИЕ ДОВЕРЕННОСТИ</w:t>
      </w:r>
    </w:p>
    <w:p>
      <w:pPr>
        <w:jc w:val="both"/>
      </w:pPr>
      <w:r>
        <w:rPr>
          <w:i w:val="0"/>
        </w:rPr>
        <w:t>5.1. Доверенность действует до ________________ (прописью). Если срок не указан, доверенность действует в течение одного года со дня её выдачи (Гражданский кодекс, статья 363.1). Доверенность, предусматривающая право распоряжения транспортным средством, не может быть выдана на срок более одного года (статья 363.3).</w:t>
      </w:r>
    </w:p>
    <w:p>
      <w:pPr>
        <w:jc w:val="both"/>
      </w:pPr>
      <w:r>
        <w:rPr>
          <w:i w:val="0"/>
        </w:rPr>
        <w:t>5.2. Право передоверия: ☐ предоставляется  ☐ не предоставляется. Если оно предоставлено, срок новой доверенности не может превышать срока настоящей доверенности, и Представитель должен уведомить об этом Общество (статья 364).</w:t>
      </w:r>
    </w:p>
    <w:p>
      <w:pPr>
        <w:jc w:val="both"/>
      </w:pPr>
      <w:r>
        <w:rPr>
          <w:i w:val="0"/>
        </w:rPr>
        <w:t>5.3. Общество вправе в любое время отменить доверенность, а Представитель — в любое время отказаться от неё (статья 365.2). При прекращении доверенности Представитель немедленно возвращает её Обществу (статья 366.3).</w:t>
      </w:r>
    </w:p>
    <w:p>
      <w:pPr>
        <w:keepNext/>
        <w:spacing w:after="80" w:before="200"/>
        <w:jc w:val="left"/>
      </w:pPr>
      <w:r>
        <w:rPr>
          <w:b/>
          <w:i w:val="0"/>
        </w:rPr>
        <w:t>6. ПОДПИСИ</w:t>
      </w:r>
    </w:p>
    <w:p>
      <w:pPr>
        <w:jc w:val="both"/>
      </w:pPr>
      <w:r>
        <w:rPr>
          <w:i w:val="0"/>
        </w:rPr>
        <w:t>Образец подписи Представителя: ______________________  (____________________) — подпись удостоверяю.</w:t>
      </w:r>
    </w:p>
    <w:p>
      <w:pPr>
        <w:jc w:val="both"/>
      </w:pPr>
    </w:p>
    <w:p>
      <w:pPr>
        <w:spacing w:after="40"/>
        <w:jc w:val="both"/>
      </w:pPr>
      <w:r>
        <w:rPr>
          <w:b/>
          <w:i w:val="0"/>
        </w:rPr>
        <w:t>Директор</w:t>
      </w:r>
      <w:r>
        <w:rPr>
          <w:i w:val="0"/>
        </w:rPr>
        <w:t xml:space="preserve">  ______________________  /____________________/</w:t>
      </w:r>
    </w:p>
    <w:p>
      <w:pPr>
        <w:jc w:val="both"/>
      </w:pPr>
      <w:r>
        <w:rPr>
          <w:b/>
          <w:i w:val="0"/>
        </w:rPr>
        <w:t>М.П.</w:t>
      </w:r>
    </w:p>
    <w:p>
      <w:pPr>
        <w:spacing w:before="120"/>
        <w:jc w:val="both"/>
      </w:pPr>
      <w:r>
        <w:rPr>
          <w:i/>
          <w:sz w:val="19"/>
        </w:rPr>
        <w:t>(Доверенность подписывается руководителем Общества или иным лицом, уполномоченным на это учредительными документами, и скрепляется печатью Общества — Гражданский кодекс, статья 362.5; Гражданский процессуальный кодекс, статья 73.4.)</w:t>
      </w:r>
    </w:p>
    <w:p>
      <w:r>
        <w:br w:type="page"/>
      </w:r>
    </w:p>
    <w:p>
      <w:pPr>
        <w:spacing w:after="80"/>
        <w:jc w:val="center"/>
      </w:pPr>
      <w:r>
        <w:rPr>
          <w:b/>
          <w:i w:val="0"/>
          <w:sz w:val="26"/>
        </w:rPr>
        <w:t>ПОРЯДОК ЗАПОЛНЕНИЯ И ЮРИДИЧЕСКИЕ ПРИМЕЧАНИЯ</w:t>
      </w:r>
    </w:p>
    <w:p>
      <w:pPr>
        <w:spacing w:after="200"/>
        <w:jc w:val="center"/>
      </w:pPr>
      <w:r>
        <w:rPr>
          <w:i/>
          <w:sz w:val="20"/>
        </w:rPr>
        <w:t>(эта страница не является частью доверенности; удалите её перед печатью)</w:t>
      </w:r>
    </w:p>
    <w:p>
      <w:pPr>
        <w:spacing w:after="80" w:before="200"/>
        <w:jc w:val="left"/>
      </w:pPr>
      <w:r>
        <w:rPr>
          <w:b/>
          <w:i w:val="0"/>
        </w:rPr>
        <w:t>Порядок заполнения</w:t>
      </w:r>
    </w:p>
    <w:p>
      <w:pPr>
        <w:ind w:left="340"/>
        <w:jc w:val="both"/>
      </w:pPr>
      <w:r>
        <w:rPr>
          <w:i w:val="0"/>
        </w:rPr>
        <w:t>— Обязательно укажите дату — цифрами и прописью: доверенность без указания даты не имеет юридического значения (Гражданский кодекс, статья 363.1).</w:t>
      </w:r>
    </w:p>
    <w:p>
      <w:pPr>
        <w:ind w:left="340"/>
        <w:jc w:val="both"/>
      </w:pPr>
      <w:r>
        <w:rPr>
          <w:i w:val="0"/>
        </w:rPr>
        <w:t>— Доверенность можно распечатать на бланке Общества. Запишите номер в журнал учёта выданных доверенностей: при отмене понадобится знать, кому и когда она выдана.</w:t>
      </w:r>
    </w:p>
    <w:p>
      <w:pPr>
        <w:ind w:left="340"/>
        <w:jc w:val="both"/>
      </w:pPr>
      <w:r>
        <w:rPr>
          <w:i w:val="0"/>
        </w:rPr>
        <w:t>— В пунктах, отмеченных ☐, оставьте нужный вариант. Не предоставляемые специальные полномочия в пункте 3.2 зачеркните, чтобы их нельзя было дописать позже.</w:t>
      </w:r>
    </w:p>
    <w:p>
      <w:pPr>
        <w:ind w:left="340"/>
        <w:jc w:val="both"/>
      </w:pPr>
      <w:r>
        <w:rPr>
          <w:i w:val="0"/>
        </w:rPr>
        <w:t>— Если доверенность выдаётся для конкретного дела, безопаснее оставить в разделе 1 только соответствующий орган и ограничить полномочия этим делом.</w:t>
      </w:r>
    </w:p>
    <w:p>
      <w:pPr>
        <w:spacing w:after="80" w:before="200"/>
        <w:jc w:val="left"/>
      </w:pPr>
      <w:r>
        <w:rPr>
          <w:b/>
          <w:i w:val="0"/>
        </w:rPr>
        <w:t>Юридические примечания</w:t>
      </w:r>
    </w:p>
    <w:p>
      <w:pPr>
        <w:ind w:left="340"/>
        <w:jc w:val="both"/>
      </w:pPr>
      <w:r>
        <w:rPr>
          <w:i w:val="0"/>
        </w:rPr>
        <w:t>— Доверенность от имени юридического лица не требует нотариального удостоверения; она выдаётся за подписью его руководителя (или лица, уполномоченного уставом) и с печатью (Гражданский кодекс, статья 362.5). Нотариальное удостоверение нужно только для сделок, требующих нотариальной формы (статья 362.2), — например, сделок с недвижимостью.</w:t>
      </w:r>
    </w:p>
    <w:p>
      <w:pPr>
        <w:ind w:left="340"/>
        <w:jc w:val="both"/>
      </w:pPr>
      <w:r>
        <w:rPr>
          <w:i w:val="0"/>
        </w:rPr>
        <w:t>— В суде юридическое лицо могут представлять только его уполномоченные лица, работники, для которых это юридическое лицо является основным местом работы, или адвокаты (Гражданский процессуальный кодекс, статья 69.2). То же правило действует в административных судах (Административно-процессуальный кодекс, статьи 26.2, 31.1). Работник-совместитель или внешний консультант не может представлять Общество в суде по этой доверенности; полномочия адвоката удостоверяются в установленном законом порядке (ордером) (Гражданский процессуальный кодекс, статья 73.5).</w:t>
      </w:r>
    </w:p>
    <w:p>
      <w:pPr>
        <w:ind w:left="340"/>
        <w:jc w:val="both"/>
      </w:pPr>
      <w:r>
        <w:rPr>
          <w:i w:val="0"/>
        </w:rPr>
        <w:t>— Полномочия на подписание искового заявления, отказ от иска, мировое соглашение, обжалование, исполнение и получение денег должны быть специально оговорены в доверенности; без этого представитель не может совершать эти действия (Гражданский процессуальный кодекс, статья 74.2).</w:t>
      </w:r>
    </w:p>
    <w:p>
      <w:pPr>
        <w:ind w:left="340"/>
        <w:jc w:val="both"/>
      </w:pPr>
      <w:r>
        <w:rPr>
          <w:i w:val="0"/>
        </w:rPr>
        <w:t>— Налогоплательщик может участвовать в налоговых отношениях через своего законного или уполномоченного представителя (Налоговый кодекс, статья 15.3).</w:t>
      </w:r>
    </w:p>
    <w:p>
      <w:pPr>
        <w:ind w:left="340"/>
        <w:jc w:val="both"/>
      </w:pPr>
      <w:r>
        <w:rPr>
          <w:i w:val="0"/>
        </w:rPr>
        <w:t>— Прямое представительство в таможенных органах осуществляется физическим лицом на основании доверенности, выданной за подписью руководителя юридического лица и с печатью (Таможенный кодекс, статьи 23.1, 23.2). Внимание: прямой таможенный представитель при таможенном оформлении исполняет все обязанности лица, самостоятельно перемещающего товары, и несёт ответственность наравне с ним (статья 23.3). Без документа о представительстве таможенный орган представительство не признаёт (статья 69.2).</w:t>
      </w:r>
    </w:p>
    <w:p>
      <w:pPr>
        <w:ind w:left="340"/>
        <w:jc w:val="both"/>
      </w:pPr>
      <w:r>
        <w:rPr>
          <w:i w:val="0"/>
        </w:rPr>
        <w:t>— По делам об административных проступках защитником юридического лица может быть и не адвокат; требование об адвокате относится только к физическим лицам и делам, рассматриваемым судом (Кодекс об административных проступках, статьи 65.1-1, 65.2).</w:t>
      </w:r>
    </w:p>
    <w:p>
      <w:pPr>
        <w:ind w:left="340"/>
        <w:jc w:val="both"/>
      </w:pPr>
      <w:r>
        <w:rPr>
          <w:i w:val="0"/>
        </w:rPr>
        <w:t>— При отмене доверенности Общество должно уведомить Представителя и известные ему органы, которым доверенность была представлена; в противном случае действия Представителя, совершённые до того, как он узнал о прекращении, сохраняют силу для Общества (Гражданский кодекс, статьи 366.1, 366.2).</w:t>
      </w:r>
    </w:p>
    <w:p>
      <w:pPr>
        <w:ind w:left="340"/>
        <w:jc w:val="both"/>
      </w:pPr>
      <w:r>
        <w:rPr>
          <w:i w:val="0"/>
        </w:rPr>
        <w:t>— Наименования органов проверены по официальным источникам по состоянию на 27.10.2026; в частности, в 2024 году Государственная служба по антимонопольному контролю и надзору за потребительским рынком преобразована в Государственное агентство, а в 2026 году на базе Государственного агентства по обязательному медицинскому страхованию в подчинении Министерства труда и социальной защиты населения создано Государственное агентство медицинского страхования и экспертизы. Благодаря пункту 1.2 доверенность сохраняет силу при переименовании органа, однако в долгосрочных доверенностях перечень рекомендуется обновлять раз в год.</w:t>
      </w:r>
    </w:p>
    <w:p>
      <w:pPr>
        <w:ind w:left="340"/>
        <w:jc w:val="both"/>
      </w:pPr>
      <w:r>
        <w:rPr>
          <w:i w:val="0"/>
        </w:rPr>
        <w:t>— Некоторые организации (банки, таможня, нотариусы) по своим внутренним правилам могут требовать дополнительные документы или доверенность по своей форме; в таких случаях заранее уточните их требования.</w:t>
      </w:r>
    </w:p>
    <w:p>
      <w:pPr>
        <w:spacing w:after="80" w:before="200"/>
        <w:jc w:val="left"/>
      </w:pPr>
      <w:r>
        <w:rPr>
          <w:b/>
          <w:i w:val="0"/>
        </w:rPr>
        <w:t>Статьи, на которые даны ссылки</w:t>
      </w:r>
    </w:p>
    <w:tbl>
      <w:tblPr>
        <w:tblStyle w:val="TableGrid"/>
        <w:tblW w:type="dxa" w:w="9355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5953"/>
      </w:tblGrid>
      <w:tr>
        <w:trPr>
          <w:cantSplit/>
        </w:trPr>
        <w:tc>
          <w:tcPr>
            <w:tcW w:type="dxa" w:w="3402"/>
          </w:tcPr>
          <w:p>
            <w:pPr>
              <w:spacing w:after="20"/>
            </w:pPr>
            <w:r>
              <w:rPr>
                <w:b/>
                <w:sz w:val="21"/>
              </w:rPr>
              <w:t>Акт, статья</w:t>
            </w:r>
          </w:p>
        </w:tc>
        <w:tc>
          <w:tcPr>
            <w:tcW w:type="dxa" w:w="5953"/>
          </w:tcPr>
          <w:p>
            <w:pPr>
              <w:spacing w:after="20"/>
            </w:pPr>
            <w:r>
              <w:rPr>
                <w:b/>
                <w:sz w:val="21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20"/>
            </w:pPr>
            <w:r>
              <w:rPr>
                <w:sz w:val="21"/>
              </w:rPr>
              <w:t>Гражданский кодекс, 359</w:t>
            </w:r>
          </w:p>
        </w:tc>
        <w:tc>
          <w:tcPr>
            <w:tcW w:type="dxa" w:w="5953"/>
          </w:tcPr>
          <w:p>
            <w:pPr>
              <w:spacing w:after="20"/>
            </w:pPr>
            <w:r>
              <w:rPr>
                <w:sz w:val="21"/>
              </w:rPr>
              <w:t>Представительство в сделках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20"/>
            </w:pPr>
            <w:r>
              <w:rPr>
                <w:sz w:val="21"/>
              </w:rPr>
              <w:t>Гражданский кодекс, 362</w:t>
            </w:r>
          </w:p>
        </w:tc>
        <w:tc>
          <w:tcPr>
            <w:tcW w:type="dxa" w:w="5953"/>
          </w:tcPr>
          <w:p>
            <w:pPr>
              <w:spacing w:after="20"/>
            </w:pPr>
            <w:r>
              <w:rPr>
                <w:sz w:val="21"/>
              </w:rPr>
              <w:t>Доверенность, её форма; доверенность юридического лица (362.5)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20"/>
            </w:pPr>
            <w:r>
              <w:rPr>
                <w:sz w:val="21"/>
              </w:rPr>
              <w:t>Гражданский кодекс, 363</w:t>
            </w:r>
          </w:p>
        </w:tc>
        <w:tc>
          <w:tcPr>
            <w:tcW w:type="dxa" w:w="5953"/>
          </w:tcPr>
          <w:p>
            <w:pPr>
              <w:spacing w:after="20"/>
            </w:pPr>
            <w:r>
              <w:rPr>
                <w:sz w:val="21"/>
              </w:rPr>
              <w:t>Срок доверенности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20"/>
            </w:pPr>
            <w:r>
              <w:rPr>
                <w:sz w:val="21"/>
              </w:rPr>
              <w:t>Гражданский кодекс, 364</w:t>
            </w:r>
          </w:p>
        </w:tc>
        <w:tc>
          <w:tcPr>
            <w:tcW w:type="dxa" w:w="5953"/>
          </w:tcPr>
          <w:p>
            <w:pPr>
              <w:spacing w:after="20"/>
            </w:pPr>
            <w:r>
              <w:rPr>
                <w:sz w:val="21"/>
              </w:rPr>
              <w:t>Передоверие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20"/>
            </w:pPr>
            <w:r>
              <w:rPr>
                <w:sz w:val="21"/>
              </w:rPr>
              <w:t>Гражданский кодекс, 365, 366</w:t>
            </w:r>
          </w:p>
        </w:tc>
        <w:tc>
          <w:tcPr>
            <w:tcW w:type="dxa" w:w="5953"/>
          </w:tcPr>
          <w:p>
            <w:pPr>
              <w:spacing w:after="20"/>
            </w:pPr>
            <w:r>
              <w:rPr>
                <w:sz w:val="21"/>
              </w:rPr>
              <w:t>Прекращение доверенности и его последствия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20"/>
            </w:pPr>
            <w:r>
              <w:rPr>
                <w:sz w:val="21"/>
              </w:rPr>
              <w:t>Гражданский процессуальный кодекс, 69</w:t>
            </w:r>
          </w:p>
        </w:tc>
        <w:tc>
          <w:tcPr>
            <w:tcW w:type="dxa" w:w="5953"/>
          </w:tcPr>
          <w:p>
            <w:pPr>
              <w:spacing w:after="20"/>
            </w:pPr>
            <w:r>
              <w:rPr>
                <w:sz w:val="21"/>
              </w:rPr>
              <w:t>Ведение дел через представителя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20"/>
            </w:pPr>
            <w:r>
              <w:rPr>
                <w:sz w:val="21"/>
              </w:rPr>
              <w:t>Гражданский процессуальный кодекс, 73</w:t>
            </w:r>
          </w:p>
        </w:tc>
        <w:tc>
          <w:tcPr>
            <w:tcW w:type="dxa" w:w="5953"/>
          </w:tcPr>
          <w:p>
            <w:pPr>
              <w:spacing w:after="20"/>
            </w:pPr>
            <w:r>
              <w:rPr>
                <w:sz w:val="21"/>
              </w:rPr>
              <w:t>Оформление полномочий представителя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20"/>
            </w:pPr>
            <w:r>
              <w:rPr>
                <w:sz w:val="21"/>
              </w:rPr>
              <w:t>Гражданский процессуальный кодекс, 74</w:t>
            </w:r>
          </w:p>
        </w:tc>
        <w:tc>
          <w:tcPr>
            <w:tcW w:type="dxa" w:w="5953"/>
          </w:tcPr>
          <w:p>
            <w:pPr>
              <w:spacing w:after="20"/>
            </w:pPr>
            <w:r>
              <w:rPr>
                <w:sz w:val="21"/>
              </w:rPr>
              <w:t>Полномочия представителя, специальные полномочия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20"/>
            </w:pPr>
            <w:r>
              <w:rPr>
                <w:sz w:val="21"/>
              </w:rPr>
              <w:t>Административно-процессуальный кодекс, 26.2, 31</w:t>
            </w:r>
          </w:p>
        </w:tc>
        <w:tc>
          <w:tcPr>
            <w:tcW w:type="dxa" w:w="5953"/>
          </w:tcPr>
          <w:p>
            <w:pPr>
              <w:spacing w:after="20"/>
            </w:pPr>
            <w:r>
              <w:rPr>
                <w:sz w:val="21"/>
              </w:rPr>
              <w:t>Представительство юридического лица в административном суде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20"/>
            </w:pPr>
            <w:r>
              <w:rPr>
                <w:sz w:val="21"/>
              </w:rPr>
              <w:t>Налоговый кодекс, 15.3</w:t>
            </w:r>
          </w:p>
        </w:tc>
        <w:tc>
          <w:tcPr>
            <w:tcW w:type="dxa" w:w="5953"/>
          </w:tcPr>
          <w:p>
            <w:pPr>
              <w:spacing w:after="20"/>
            </w:pPr>
            <w:r>
              <w:rPr>
                <w:sz w:val="21"/>
              </w:rPr>
              <w:t>Участие в налоговых отношениях через представителя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20"/>
            </w:pPr>
            <w:r>
              <w:rPr>
                <w:sz w:val="21"/>
              </w:rPr>
              <w:t>Таможенный кодекс, 21, 23, 69</w:t>
            </w:r>
          </w:p>
        </w:tc>
        <w:tc>
          <w:tcPr>
            <w:tcW w:type="dxa" w:w="5953"/>
          </w:tcPr>
          <w:p>
            <w:pPr>
              <w:spacing w:after="20"/>
            </w:pPr>
            <w:r>
              <w:rPr>
                <w:sz w:val="21"/>
              </w:rPr>
              <w:t>Таможенное представительство, документ о представительстве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20"/>
            </w:pPr>
            <w:r>
              <w:rPr>
                <w:sz w:val="21"/>
              </w:rPr>
              <w:t>Кодекс об административных проступках, 65</w:t>
            </w:r>
          </w:p>
        </w:tc>
        <w:tc>
          <w:tcPr>
            <w:tcW w:type="dxa" w:w="5953"/>
          </w:tcPr>
          <w:p>
            <w:pPr>
              <w:spacing w:after="20"/>
            </w:pPr>
            <w:r>
              <w:rPr>
                <w:sz w:val="21"/>
              </w:rPr>
              <w:t>Защитник и представитель</w:t>
            </w:r>
          </w:p>
        </w:tc>
      </w:tr>
    </w:tbl>
    <w:p>
      <w:pPr>
        <w:spacing w:after="40"/>
      </w:pPr>
    </w:p>
    <w:p>
      <w:pPr>
        <w:spacing w:before="160"/>
        <w:jc w:val="both"/>
      </w:pPr>
      <w:r>
        <w:rPr>
          <w:i/>
          <w:sz w:val="19"/>
        </w:rPr>
        <w:t>Статьи сверены с действующими редакциями на e-qanun.az (27.10.2026). Образец носит информационный характер и не является юридической консультацией. Подготовлено: Meridian Tax Partners · meridiantax.az · 070 598 13 33.</w:t>
      </w:r>
    </w:p>
    <w:sectPr w:rsidR="00FC693F" w:rsidRPr="0006063C" w:rsidSect="00034616">
      <w:footerReference w:type="default" r:id="rId9"/>
      <w:pgSz w:w="11906" w:h="16838"/>
      <w:pgMar w:top="1134" w:right="102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</w:r>
    <w:r>
      <w:rPr>
        <w:sz w:val="18"/>
      </w:rPr>
      <w:instrText xml:space="preserve">PAGE</w:instrText>
    </w:r>
    <w:r>
      <w:rPr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Times New Roman" w:hAnsi="Times New Roman" w:eastAsia="Times New Roman"/>
      <w:sz w:val="23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ru-RU</dc:language>
</cp:coreProperties>
</file>